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8640"/>
      </w:tblGrid>
      <w:tr>
        <w:tc>
          <w:tcPr>
            <w:tcW w:type="dxa" w:w="8640"/>
            <w:shd w:val="clear" w:color="auto" w:fill="0A192F"/>
            <w:tcBorders>
              <w:top w:val="single" w:sz="0" w:space="0" w:color="0A192F"/>
              <w:left w:val="single" w:sz="0" w:space="0" w:color="0A192F"/>
              <w:bottom w:val="single" w:sz="0" w:space="0" w:color="0A192F"/>
              <w:right w:val="single" w:sz="0" w:space="0" w:color="0A192F"/>
            </w:tcBorders>
          </w:tcPr>
          <w:p>
            <w:r>
              <w:rPr>
                <w:sz w:val="32"/>
              </w:rPr>
              <w:t xml:space="preserve">  </w:t>
            </w:r>
          </w:p>
        </w:tc>
      </w:tr>
    </w:tbl>
    <w:tbl>
      <w:tblPr>
        <w:tblW w:type="auto" w:w="0"/>
        <w:tblLook w:firstColumn="1" w:firstRow="1" w:lastColumn="0" w:lastRow="0" w:noHBand="0" w:noVBand="1" w:val="04A0"/>
      </w:tblPr>
      <w:tblGrid>
        <w:gridCol w:w="8640"/>
      </w:tblGrid>
      <w:tr>
        <w:tc>
          <w:tcPr>
            <w:tcW w:type="dxa" w:w="8640"/>
            <w:shd w:val="clear" w:color="auto" w:fill="B8956B"/>
            <w:tcBorders>
              <w:top w:val="single" w:sz="0" w:space="0" w:color="B8956B"/>
              <w:left w:val="single" w:sz="0" w:space="0" w:color="B8956B"/>
              <w:bottom w:val="single" w:sz="0" w:space="0" w:color="B8956B"/>
              <w:right w:val="single" w:sz="0" w:space="0" w:color="B8956B"/>
            </w:tcBorders>
          </w:tcPr>
          <w:p>
            <w:r>
              <w:rPr>
                <w:sz w:val="6"/>
              </w:rPr>
              <w:t xml:space="preserve"> </w:t>
            </w:r>
          </w:p>
        </w:tc>
      </w:tr>
    </w:tbl>
    <w:p/>
    <w:p/>
    <w:p/>
    <w:p>
      <w:pPr>
        <w:spacing w:after="160"/>
        <w:jc w:val="left"/>
      </w:pPr>
      <w:r>
        <w:rPr>
          <w:rFonts w:ascii="Calibri" w:hAnsi="Calibri"/>
          <w:b/>
          <w:color w:val="B8956B"/>
          <w:sz w:val="18"/>
        </w:rPr>
        <w:t>PROPOSAL</w:t>
      </w:r>
    </w:p>
    <w:p>
      <w:pPr>
        <w:spacing w:after="200"/>
        <w:jc w:val="left"/>
        <w:bidi w:val="1"/>
      </w:pPr>
      <w:r>
        <w:rPr>
          <w:rFonts w:ascii="Calibri" w:hAnsi="Calibri"/>
          <w:b/>
          <w:color w:val="0A192F"/>
          <w:sz w:val="56"/>
          <w:rtl w:val="1"/>
        </w:rPr>
        <w:t>خطة عمل تنفيذ أعمال إنارة طريق</w:t>
      </w:r>
    </w:p>
    <w:p>
      <w:pPr>
        <w:pBdr>
          <w:bottom w:val="single" w:sz="18" w:space="1" w:color="B8956B"/>
        </w:pBdr>
        <w:spacing w:after="280"/>
      </w:pPr>
    </w:p>
    <w:p>
      <w:pPr>
        <w:spacing w:after="360"/>
        <w:jc w:val="left"/>
        <w:bidi w:val="1"/>
      </w:pPr>
      <w:r>
        <w:rPr>
          <w:rFonts w:ascii="Calibri" w:hAnsi="Calibri"/>
          <w:color w:val="1B3A5F"/>
          <w:sz w:val="26"/>
          <w:rtl w:val="1"/>
        </w:rPr>
        <w:t>مسار 2000 متر — 50 عمود إنارة — صندوق تغذية واحد | محافظة شمال الباطنة — دائرة المشاريع | أكتوبر 2026</w:t>
      </w:r>
    </w:p>
    <w:tbl>
      <w:tblPr>
        <w:tblW w:type="auto" w:w="0"/>
        <w:tblLook w:firstColumn="1" w:firstRow="1" w:lastColumn="0" w:lastRow="0" w:noHBand="0" w:noVBand="1" w:val="04A0"/>
      </w:tblPr>
      <w:tblGrid>
        <w:gridCol w:w="2880"/>
        <w:gridCol w:w="2880"/>
        <w:gridCol w:w="2880"/>
      </w:tblGrid>
      <w:tr>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PREPARED BY</w:t>
            </w:r>
          </w:p>
          <w:p>
            <w:pPr>
              <w:jc w:val="right"/>
              <w:bidi w:val="1"/>
            </w:pPr>
            <w:r>
              <w:rPr>
                <w:rFonts w:ascii="Calibri" w:hAnsi="Calibri"/>
                <w:color w:val="0A192F"/>
                <w:sz w:val="22"/>
              </w:rPr>
              <w:t>دائرة المشاريع — محافظة شمال الباطنة</w:t>
            </w:r>
          </w:p>
        </w:tc>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DATE</w:t>
            </w:r>
          </w:p>
          <w:p>
            <w:r>
              <w:rPr>
                <w:rFonts w:ascii="Calibri" w:hAnsi="Calibri"/>
                <w:color w:val="0A192F"/>
                <w:sz w:val="22"/>
              </w:rPr>
              <w:t>2026-10-20</w:t>
            </w:r>
          </w:p>
        </w:tc>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STATUS</w:t>
            </w:r>
          </w:p>
          <w:p>
            <w:r>
              <w:rPr>
                <w:rFonts w:ascii="Calibri" w:hAnsi="Calibri"/>
                <w:color w:val="0A192F"/>
                <w:sz w:val="22"/>
              </w:rPr>
              <w:t>Confidential</w:t>
            </w:r>
          </w:p>
        </w:tc>
      </w:tr>
    </w:tbl>
    <w:p>
      <w:pPr>
        <w:spacing w:before="480"/>
      </w:pPr>
    </w:p>
    <w:p>
      <w:r>
        <w:br w:type="page"/>
      </w:r>
    </w:p>
    <w:tbl>
      <w:tblPr>
        <w:tblW w:type="auto" w:w="0"/>
        <w:tblLook w:firstColumn="1" w:firstRow="1" w:lastColumn="0" w:lastRow="0" w:noHBand="0" w:noVBand="1" w:val="04A0"/>
      </w:tblPr>
      <w:tblGrid>
        <w:gridCol w:w="8640"/>
      </w:tblGrid>
      <w:tr>
        <w:tc>
          <w:tcPr>
            <w:tcW w:type="dxa" w:w="8640"/>
            <w:shd w:val="clear" w:color="auto" w:fill="F7F5F0"/>
            <w:tcBorders>
              <w:top w:val="single" w:sz="4" w:space="0" w:color="F7F5F0"/>
              <w:left w:val="single" w:sz="24" w:space="0" w:color="B8956B"/>
              <w:bottom w:val="single" w:sz="4" w:space="0" w:color="F7F5F0"/>
              <w:right w:val="single" w:sz="4" w:space="0" w:color="F7F5F0"/>
            </w:tcBorders>
          </w:tcPr>
          <w:p>
            <w:pPr>
              <w:spacing w:before="120" w:after="120"/>
              <w:jc w:val="right"/>
              <w:bidi w:val="1"/>
            </w:pPr>
            <w:r>
              <w:rPr>
                <w:rFonts w:ascii="Calibri" w:hAnsi="Calibri"/>
                <w:b/>
                <w:color w:val="B8956B"/>
                <w:sz w:val="18"/>
              </w:rPr>
              <w:t xml:space="preserve">INFO  </w:t>
            </w:r>
            <w:r>
              <w:rPr>
                <w:rFonts w:ascii="Calibri" w:hAnsi="Calibri"/>
                <w:color w:val="1A202C"/>
                <w:sz w:val="20"/>
                <w:rtl w:val="1"/>
              </w:rPr>
              <w:t>وثيقة تخطيطية أولية — الحسابات الواردة تمهيدية وتعتمد على الافتراضات المعلنة في القسم 2. لا تُعتمد للتنفيذ قبل تأكيد البيانات وحساب الإضاءة النهائي.</w:t>
            </w:r>
          </w:p>
        </w:tc>
      </w:tr>
    </w:tbl>
    <w:p>
      <w:pPr>
        <w:spacing w:after="80"/>
      </w:pPr>
    </w:p>
    <w:p>
      <w:pPr>
        <w:pStyle w:val="Heading1"/>
        <w:spacing w:before="360" w:after="160"/>
        <w:jc w:val="right"/>
        <w:keepNext/>
        <w:bidi w:val="1"/>
        <w:pBdr>
          <w:bottom w:val="single" w:sz="12" w:space="6" w:color="B8956B"/>
        </w:pBdr>
      </w:pPr>
      <w:r>
        <w:rPr>
          <w:rFonts w:ascii="Calibri" w:hAnsi="Calibri"/>
          <w:b/>
          <w:color w:val="0A192F"/>
          <w:sz w:val="44"/>
          <w:rtl w:val="1"/>
        </w:rPr>
        <w:t>ملخص تنفيذي</w:t>
      </w:r>
    </w:p>
    <w:p>
      <w:pPr>
        <w:spacing w:after="160" w:line="276" w:lineRule="auto"/>
        <w:jc w:val="right"/>
        <w:bidi w:val="1"/>
      </w:pPr>
      <w:r>
        <w:rPr>
          <w:rFonts w:ascii="Calibri" w:hAnsi="Calibri"/>
          <w:color w:val="1A202C"/>
          <w:sz w:val="22"/>
          <w:rtl w:val="1"/>
        </w:rPr>
        <w:t>تتناول هذه الخطة تنفيذ أعمال إنارة لمسار بطول 2000 متر، يشمل توريد وتركيب 50 عمود إنارة بارتفاع 10 أمتار وقاعدة 60×60×120 سم وكشافات LED بقدرة 150 واط، مع صندوق تغذية واحد في منتصف المسار ومغذيين متعاكسين، والكابلات والقنوات والتأريض والاختبارات والتشغيل. التباعد المنتظم بين الأعمدة 40 متراً (2000 ÷ 50). ويبلغ الحمل التصميمي الكلي 7.5 كيلوواط، أي 7.875 كيلوواط بعد فواقد المنظومة، والتيار الكلي 12.0 أمبير فقط. هذا التيار لا يقترب من سعة الكابل الحراري، لذلك يظل هبوط الجهد على طول ألفي متر هو القيد الحاكم في اختيار المقطع.</w:t>
      </w:r>
    </w:p>
    <w:p>
      <w:pPr>
        <w:spacing w:after="160" w:line="276" w:lineRule="auto"/>
        <w:jc w:val="right"/>
        <w:bidi w:val="1"/>
      </w:pPr>
      <w:r>
        <w:rPr>
          <w:rFonts w:ascii="Calibri" w:hAnsi="Calibri"/>
          <w:color w:val="1A202C"/>
          <w:sz w:val="22"/>
          <w:rtl w:val="1"/>
        </w:rPr>
        <w:t xml:space="preserve">أظهرت الحسابات أن </w:t>
      </w:r>
      <w:r>
        <w:rPr>
          <w:rFonts w:ascii="Calibri" w:hAnsi="Calibri"/>
          <w:b/>
          <w:color w:val="1A202C"/>
          <w:sz w:val="22"/>
          <w:rtl w:val="1"/>
        </w:rPr>
        <w:t>اختيار الكابل محكوم بهبوط الجهد وليس بسعة الحمل</w:t>
      </w:r>
      <w:r>
        <w:rPr>
          <w:rFonts w:ascii="Calibri" w:hAnsi="Calibri"/>
          <w:color w:val="1A202C"/>
          <w:sz w:val="22"/>
          <w:rtl w:val="1"/>
        </w:rPr>
        <w:t>. التيار 12.0 أمبير وسعة كابل 4×50 مم² ألمنيوم تتجاوز 130 أمبيراً، ومع ذلك يعطي هذا الكابل بمغذٍ واحد من طرف المسار هبوطاً 6.6% (26.4 فولت) وهو مرفوض، ويعطي 4×70 مم² هبوطاً 4.6% وهو مرفوض أيضاً، ولا ينزل تحت حد 3% إلا كابل 4×120 مم² بنسبة 2.8%. لذلك اعتُمد تقسيم المسار إلى مغذيين متعاكسين من صندوق في منتصف المسار، فينزل الهبوط مع كابل 4×50 مم² إلى 1.6% (6.6 فولت) ويبقى الكابل الأصغر والأقل كلفة. المدة التقديرية للتنفيذ 16 أسبوعاً من تاريخ الإحالة، والمسار الحرج فيها: التوريد ثم الحفر والقنوات ثم الأعمدة ثم سحب الكابلات ثم الاختبارات.</w:t>
      </w:r>
    </w:p>
    <w:p>
      <w:pPr>
        <w:spacing w:after="160" w:line="276" w:lineRule="auto"/>
        <w:jc w:val="right"/>
        <w:bidi w:val="1"/>
      </w:pPr>
      <w:r>
        <w:rPr>
          <w:rFonts w:ascii="Calibri" w:hAnsi="Calibri"/>
          <w:color w:val="1A202C"/>
          <w:sz w:val="22"/>
          <w:rtl w:val="1"/>
        </w:rPr>
        <w:t>التكلفة التقديرية بعد اعتماد العمود 10 أمتار والكشاف 150 واط والقاعدة 60×60×120 سم هي 42,710 ريالاً عمانياً قبل الاحتياطي (43,850 مع احتياطي 2.7%)، أي بزيادة 2,710 إلى 3,850 ريالاً على سقف 40,000. ويُعرض في القسم الأخير بديل 44 عموداً بتباعد 45 متراً الذي ينزل بالإجمالي إلى 40,686 ريالاً. الخطة مبنية على افتراضات معلنة صراحة في القسم 2؛ أي تغيير في ارتفاع العمود أو قدرة الكشاف أو موقع نقطة التغذية يغيّر الكميات ونتائج هبوط الجهد ويعيد الحساب، ولا تُغني عن حساب إضاءة معتمد ومخططات تنفيذية مصدّقة قبل التعميد.</w:t>
      </w:r>
    </w:p>
    <w:p>
      <w:pPr>
        <w:pStyle w:val="Heading1"/>
        <w:spacing w:before="360" w:after="160"/>
        <w:jc w:val="right"/>
        <w:keepNext/>
        <w:bidi w:val="1"/>
        <w:pBdr>
          <w:bottom w:val="single" w:sz="12" w:space="6" w:color="B8956B"/>
        </w:pBdr>
      </w:pPr>
      <w:r>
        <w:rPr>
          <w:rFonts w:ascii="Calibri" w:hAnsi="Calibri"/>
          <w:b/>
          <w:color w:val="0A192F"/>
          <w:sz w:val="44"/>
          <w:rtl w:val="1"/>
        </w:rPr>
        <w:t>1. بيانات المشروع</w:t>
      </w:r>
    </w:p>
    <w:tbl>
      <w:tblPr>
        <w:tblStyle w:val="TableGrid"/>
        <w:tblW w:type="auto" w:w="0"/>
        <w:tblLayout w:type="autofit"/>
        <w:tblLook w:firstColumn="1" w:firstRow="1" w:lastColumn="0" w:lastRow="0" w:noHBand="0" w:noVBand="1" w:val="04A0"/>
      </w:tblPr>
      <w:tblGrid>
        <w:gridCol w:w="4320"/>
        <w:gridCol w:w="4320"/>
      </w:tblGrid>
      <w:tr>
        <w:tc>
          <w:tcPr>
            <w:tcW w:type="dxa" w:w="432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البند</w:t>
            </w:r>
          </w:p>
        </w:tc>
        <w:tc>
          <w:tcPr>
            <w:tcW w:type="dxa" w:w="432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البيان</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اسم المشروع</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أعمال إنارة طريق — مسار بطول 2000 متر</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الجهة المالكة</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محافظة شمال الباطنة — دائرة المشاريع</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نطاق الأعمال</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توريد وتركيب 50 عمود إنارة وصندوق تغذية واحد، مع الكابلات والقنوات والتأريض والاختبارات والتشغيل</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طول المسار</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2000 متر</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 الأعمدة</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50 عموداً</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التباعد بين الأعمدة</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40 متراً (تباعد منتظم)</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نقاط التغذية</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صندوق تغذية واحد في منتصف المسار (1000 م) بمغذيين متعاكسين</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مدة التنفيذ التقديرية</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16 أسبوعاً بما فيها التوريد</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تاريخ الإحالة المفترض</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 نوفمبر 2026</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نهاية الأعمال المتوقعة</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4 مارس 2027</w:t>
            </w:r>
          </w:p>
        </w:tc>
      </w:tr>
    </w:tbl>
    <w:p>
      <w:pPr>
        <w:spacing w:after="120"/>
      </w:pPr>
    </w:p>
    <w:p>
      <w:pPr>
        <w:pStyle w:val="Heading1"/>
        <w:spacing w:before="360" w:after="160"/>
        <w:jc w:val="right"/>
        <w:keepNext/>
        <w:bidi w:val="1"/>
        <w:pBdr>
          <w:bottom w:val="single" w:sz="12" w:space="6" w:color="B8956B"/>
        </w:pBdr>
      </w:pPr>
      <w:r>
        <w:rPr>
          <w:rFonts w:ascii="Calibri" w:hAnsi="Calibri"/>
          <w:b/>
          <w:color w:val="0A192F"/>
          <w:sz w:val="44"/>
          <w:rtl w:val="1"/>
        </w:rPr>
        <w:t>2. الافتراضات التصميمية</w:t>
      </w:r>
    </w:p>
    <w:p>
      <w:pPr>
        <w:spacing w:after="160" w:line="276" w:lineRule="auto"/>
        <w:jc w:val="right"/>
        <w:bidi w:val="1"/>
      </w:pPr>
      <w:r>
        <w:rPr>
          <w:rFonts w:ascii="Calibri" w:hAnsi="Calibri"/>
          <w:color w:val="1A202C"/>
          <w:sz w:val="22"/>
          <w:rtl w:val="1"/>
        </w:rPr>
        <w:t>لم تُحدَّد في الطلب بعض المدخلات اللازمة للحساب، لذا اعتُمدت القيم التالية وهي الشائعة في مشاريع إنارة الطرق الداخلية والواصلة. الجدول يوضح أثر تغيير كل افتراض، لأن أي تعديل يستوجب إعادة حساب الكميات وهبوط الجهد.</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البند</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القيمة المعتمدة</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أثر التغيير</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ارتفاع العمود</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10 أمتار، ذراع مفردة 1.5 م</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يستلزم قاعدة أكبر ومسامير M24 ويرفع كلفة العمود نحو 30 ريالاً للعمود</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قدرة الكشاف</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150 واط LED</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الحمل 7.5 كيلوواط، والهبوط أعلى بـ50% من 100 واط، ما يستلزم التحقق من المقطع</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قاعدة العمود</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60×60×120 سم خرسانة مسلحة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حجم الخرسانة 0.432 م³ للقاعدة الواحدة، بوزن نحو 1.04 طن</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نظام التغذية</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400/230 فولت، 50 هرتز، ثلاثي الأطوار بأربعة موصلات</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معامل القدرة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0.95 (الحد الأدنى للمواصفة 0.90)</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انخفاضه إلى 0.85 يزيد التيار والهبوط بنحو 12%</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حد هبوط الجهد</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3% حتى آخر عمود</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الحد الحاكم: 4×50 بمغذٍ واحد يعطي 6.6% و4×70 يعطي 4.6%، ولا يجتازه إلا 4×120 (2.8%)</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نوع الكابل</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XLPE/SWA/PVC مدفون في خندق رملي</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الكابل الهوائي يغيّر المواصفة والكمية</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نظام التأريض</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TN-S أو TN-C-S، مقاومة قطب ≤ 5 أوم</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نظام TT يستلزم قاطع تسرب 300 مللي أمبير</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موضع صندوق التغذية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منتصف المسار عند 1000 م بمغذيين متعاكسين</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إن تعذرت التغذية في المنتصف يلزم كابل 4×120 مم² بمغذٍ واحد، بزيادة نحو 8,610 ريالات</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طبيعة الطريق</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حفر مفتوح مع ثلاث نقاط عبور</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العبور الكامل تحت الأسفلت يستلزم حفراً أفقياً وكلفة أعلى</w:t>
            </w:r>
          </w:p>
        </w:tc>
      </w:tr>
    </w:tbl>
    <w:p>
      <w:pPr>
        <w:spacing w:after="120"/>
      </w:pPr>
    </w:p>
    <w:p>
      <w:pPr>
        <w:pStyle w:val="Heading1"/>
        <w:spacing w:before="360" w:after="160"/>
        <w:jc w:val="right"/>
        <w:keepNext/>
        <w:bidi w:val="1"/>
        <w:pBdr>
          <w:bottom w:val="single" w:sz="12" w:space="6" w:color="B8956B"/>
        </w:pBdr>
      </w:pPr>
      <w:r>
        <w:rPr>
          <w:rFonts w:ascii="Calibri" w:hAnsi="Calibri"/>
          <w:b/>
          <w:color w:val="0A192F"/>
          <w:sz w:val="44"/>
          <w:rtl w:val="1"/>
        </w:rPr>
        <w:t>3. الأسس التصميمية والحسابات التمهيدية</w:t>
      </w:r>
    </w:p>
    <w:p>
      <w:pPr>
        <w:pStyle w:val="Heading2"/>
        <w:spacing w:before="240" w:after="80"/>
        <w:jc w:val="right"/>
        <w:bidi w:val="1"/>
        <w:pBdr>
          <w:bottom w:val="single" w:sz="6" w:space="3" w:color="1B3A5F"/>
        </w:pBdr>
      </w:pPr>
      <w:r>
        <w:rPr>
          <w:rFonts w:ascii="Calibri" w:hAnsi="Calibri"/>
          <w:b/>
          <w:color w:val="1B3A5F"/>
          <w:sz w:val="30"/>
          <w:rtl w:val="1"/>
        </w:rPr>
        <w:t>3.1 الحمل والتيار</w:t>
      </w:r>
    </w:p>
    <w:p>
      <w:pPr>
        <w:spacing w:after="160" w:line="276" w:lineRule="auto"/>
        <w:jc w:val="right"/>
        <w:bidi w:val="1"/>
      </w:pPr>
      <w:r>
        <w:rPr>
          <w:rFonts w:ascii="Calibri" w:hAnsi="Calibri"/>
          <w:color w:val="1A202C"/>
          <w:sz w:val="22"/>
          <w:rtl w:val="1"/>
        </w:rPr>
        <w:t>يُوزَّع عدد الأعمدة على الأطوار الثلاثة توزيعاً متوازناً (17 / 17 / 16)، بحيث يحمل الطور الأعلى حمل 17 كشافاً. الحساب التالي يوضح الحمل الكلي والتيار على مستوى صندوق التغذية وعلى مستوى الطور الواحد.</w:t>
      </w:r>
    </w:p>
    <w:tbl>
      <w:tblPr>
        <w:tblStyle w:val="TableGrid"/>
        <w:tblW w:type="auto" w:w="0"/>
        <w:tblLayout w:type="autofit"/>
        <w:tblLook w:firstColumn="1" w:firstRow="1" w:lastColumn="0" w:lastRow="0" w:noHBand="0" w:noVBand="1" w:val="04A0"/>
      </w:tblPr>
      <w:tblGrid>
        <w:gridCol w:w="4320"/>
        <w:gridCol w:w="4320"/>
      </w:tblGrid>
      <w:tr>
        <w:tc>
          <w:tcPr>
            <w:tcW w:type="dxa" w:w="432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البند</w:t>
            </w:r>
          </w:p>
        </w:tc>
        <w:tc>
          <w:tcPr>
            <w:tcW w:type="dxa" w:w="432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القيمة</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قدرة الكشاف</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150 واط</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 الكشافات</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الحمل التصميمي الكلي</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7.5 كيلوواط</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الحمل بعد فواقد المنظومة (5%)</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7.875 كيلوواط</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الجهد</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400 فولت (ثلاثي) / 230 فولت (أحادي)</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معامل القدرة</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0.95</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التيار الكلي على صندوق التغذية</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12.0 أمبير</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توزيع الأطوار</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17 / 17 / 16 عموداً</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تيار الطور الأعلى (17 كشافاً)</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11.7 أمبير</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تيار كل مغذٍ عند تقسيم المسار</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6.0 أمبير</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القاطع الفرعي لكل مغذٍ ولكل طور</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1P+N 10 أمبير</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القاطع الرئيسي</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3P 32 أمبير، قدرة قطع 10 كيلو أمبير</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ملاحظة</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سعة الحمل لا تحكم اختيار الكابل؛ الحاكم هو هبوط الجهد على 2000 متر</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3.2 هبوط الجهد واختيار الكابل</w:t>
      </w:r>
    </w:p>
    <w:p>
      <w:pPr>
        <w:spacing w:after="160" w:line="276" w:lineRule="auto"/>
        <w:jc w:val="right"/>
        <w:bidi w:val="1"/>
      </w:pPr>
      <w:r>
        <w:rPr>
          <w:rFonts w:ascii="Calibri" w:hAnsi="Calibri"/>
          <w:color w:val="1A202C"/>
          <w:sz w:val="22"/>
          <w:rtl w:val="1"/>
        </w:rPr>
        <w:t>الحمل موزع بانتظام على طول المسار، لذلك يُحسب هبوط الجهد على أساس الحمل الموزع، ويكافئ ذلك حساب الهبوط على نصف طول المسار بكامل التيار، أو على الطول الكامل بنصف التيار. المعادلة: الهبوط = √3 × التيار × (الطول ÷ 2) × (المقاومة × جتا φ + المفاعلة × جا φ) ÷ 1000. المقاومة مأخوذة عند أقصى حرارة تشغيل للموصل (90°م) للألمنيوم: 50 مم² = 0.641، 70 مم² = 0.443، 95 مم² = 0.320، 120 مم² = 0.253 أوم/كم، والمفاعلة 0.080 أوم/كم. الحساب التالي على جهد 400 فولت ومعامل قدرة 0.95 وطول 2000 متر والتيار الكلي 12.0 أمبير.</w:t>
      </w:r>
    </w:p>
    <w:tbl>
      <w:tblPr>
        <w:tblStyle w:val="TableGrid"/>
        <w:tblW w:type="auto" w:w="0"/>
        <w:tblLayout w:type="autofit"/>
        <w:tblLook w:firstColumn="1" w:firstRow="1" w:lastColumn="0" w:lastRow="0" w:noHBand="0" w:noVBand="1" w:val="04A0"/>
      </w:tblPr>
      <w:tblGrid>
        <w:gridCol w:w="1728"/>
        <w:gridCol w:w="1728"/>
        <w:gridCol w:w="1728"/>
        <w:gridCol w:w="1728"/>
        <w:gridCol w:w="1728"/>
      </w:tblGrid>
      <w:tr>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الكابل</w:t>
            </w:r>
          </w:p>
        </w:tc>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المقاومة (أوم/كم)</w:t>
            </w:r>
          </w:p>
        </w:tc>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هبوط الجهد (فولت)</w:t>
            </w:r>
          </w:p>
        </w:tc>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النسبة</w:t>
            </w:r>
          </w:p>
        </w:tc>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التقييم (مغذٍ واحد 2000 م)</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نحاس 4×25 مم²</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0.884</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35.9</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9.0%</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نحاس 4×35 مم²</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0.630</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25.9</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6.5%</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نحاس 4×50 مم²</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0.494</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20.5</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5.1%</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نحاس 4×70 مم²</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0.342</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14.5</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3.6%</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4×50 مم²</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0.641</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26.4</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6.6%</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 بمغذٍ واحد، مقبول بمغذيين (1.6%)</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4×70 مم²</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0.443</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18.5</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4.6%</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 بمغذٍ واحد</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4×95 مم²</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0.320</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13.7</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3.4%</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 بمغذٍ واحد</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4×120 مم²</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0.253</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11.0</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2.8%</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مقبول بمغذٍ واحد (البديل الوحيد)</w:t>
            </w:r>
          </w:p>
        </w:tc>
      </w:tr>
    </w:tbl>
    <w:p>
      <w:pPr>
        <w:spacing w:after="120"/>
      </w:pPr>
    </w:p>
    <w:p>
      <w:pPr>
        <w:spacing w:after="160" w:line="276" w:lineRule="auto"/>
        <w:jc w:val="right"/>
        <w:bidi w:val="1"/>
      </w:pPr>
      <w:r>
        <w:rPr>
          <w:rFonts w:ascii="Calibri" w:hAnsi="Calibri"/>
          <w:b/>
          <w:color w:val="1A202C"/>
          <w:sz w:val="22"/>
          <w:rtl w:val="1"/>
        </w:rPr>
        <w:t>التوصية:</w:t>
      </w:r>
      <w:r>
        <w:rPr>
          <w:rFonts w:ascii="Calibri" w:hAnsi="Calibri"/>
          <w:color w:val="1A202C"/>
          <w:sz w:val="22"/>
          <w:rtl w:val="1"/>
        </w:rPr>
        <w:t xml:space="preserve"> كابل 4×50 مم² ألمنيوم XLPE/SWA/PVC بطول 2100 متر (المسار + 5% احتياطي)، مع تركيب صندوق التغذية في منتصف المسار وتقسيم الأعمدة إلى مغذيين متعاكسين من 25 عموداً لكل اتجاه، فينزل هبوط الجهد إلى 1.6% بدل 6.6%. هذا الحل يوفر نحو 8,610 ريالات مقارنة بكابل 4×120 مم² اللازم لو كانت التغذية عند طرف المسار فقط، وهو الفرق الذي يغطي الزيادة الناتجة عن رفع العمود إلى 10 أمتار والكشاف إلى 150 واط. ويُشترط لذلك توفر نقطة تغذية منخفضة الجهد عند منتصف المسار أو قريبة منه؛ وإلا وجب كابل 4×120 مم² وارتفع الإجمالي إلى نحو 51,320 ريالاً. في الحالتين سعة الحمل الحرارية تتجاوز التيار المحسوب بأضعاف، فالعامل الحاكم هو هبوط الجهد لا السعة.</w:t>
      </w:r>
    </w:p>
    <w:p>
      <w:pPr>
        <w:pStyle w:val="Heading2"/>
        <w:spacing w:before="240" w:after="80"/>
        <w:jc w:val="right"/>
        <w:bidi w:val="1"/>
        <w:pBdr>
          <w:bottom w:val="single" w:sz="6" w:space="3" w:color="1B3A5F"/>
        </w:pBdr>
      </w:pPr>
      <w:r>
        <w:rPr>
          <w:rFonts w:ascii="Calibri" w:hAnsi="Calibri"/>
          <w:b/>
          <w:color w:val="1B3A5F"/>
          <w:sz w:val="30"/>
          <w:rtl w:val="1"/>
        </w:rPr>
        <w:t>3.3 صندوق التغذية</w:t>
      </w:r>
    </w:p>
    <w:p>
      <w:pPr>
        <w:spacing w:after="160" w:line="276" w:lineRule="auto"/>
        <w:jc w:val="right"/>
        <w:bidi w:val="1"/>
      </w:pPr>
      <w:r>
        <w:rPr>
          <w:rFonts w:ascii="Calibri" w:hAnsi="Calibri"/>
          <w:color w:val="1A202C"/>
          <w:sz w:val="22"/>
          <w:rtl w:val="1"/>
        </w:rPr>
        <w:t>صندوق واحد يخدم الأعمدة الخمسين كاملة، ويُركّب على قاعدة خرسانية في منتصف المسار عند مسافة 1000 متر، في موضع يسهل الوصول إليه للصيانة ويبعد عن مسار المركبات. ويخرج منه مغذيان متعاكسان، كل مغذٍ يخدم 25 عموداً على مسافة 1000 متر، وهو ما يخفض هبوط الجهد إلى الربع تقريباً مقارنة بمغذٍ واحد من طرف المسار. المكونات التالية هي الحد الأدنى المطلوب، مع ترك احتياط لا يقل عن 25% لتغذية لافتات أو كاميرات مستقبلاً.</w:t>
      </w:r>
    </w:p>
    <w:tbl>
      <w:tblPr>
        <w:tblStyle w:val="TableGrid"/>
        <w:tblW w:type="auto" w:w="0"/>
        <w:tblLayout w:type="autofit"/>
        <w:tblLook w:firstColumn="1" w:firstRow="1" w:lastColumn="0" w:lastRow="0" w:noHBand="0" w:noVBand="1" w:val="04A0"/>
      </w:tblPr>
      <w:tblGrid>
        <w:gridCol w:w="4320"/>
        <w:gridCol w:w="4320"/>
      </w:tblGrid>
      <w:tr>
        <w:tc>
          <w:tcPr>
            <w:tcW w:type="dxa" w:w="432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المكوّن</w:t>
            </w:r>
          </w:p>
        </w:tc>
        <w:tc>
          <w:tcPr>
            <w:tcW w:type="dxa" w:w="432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المواصفة</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الهيكل</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معدن مجلفن أو GRP، درجة حماية IP65، باب بقفل، تركيب خارجي على قاعدة خرسانية</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القاطع الرئيسي</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MCCB ثلاثي الأطوار 32 أمبير، قدرة قطع 10 كيلو أمبير، قابل للفصل</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القواطع الفرعية</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مغذيان، لكل مغذٍ ثلاثة قواطع 1P+N بسعة 10 أمبير (طور لكل مجموعة أعمدة)</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حماية التسرب الأرضي</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قاطع تسرب 300 مللي أمبير من النوع النابض لكل مغذٍ، حسب نظام التأريض المعتمد</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التحكم</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كونتاكتوران ثلاثية 25 أمبير + خلية ضوئية + مؤقت فلكي، مع مفتاح تحويل يدوي/تلقائي</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الحماية من الصواعق</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مانعة صواعق من النوع الثاني بقدرة تصريف 20 كيلو أمبير</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القياس</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عداد طاقة ثلاثي الأطوار، وأجهزة قياس جهد وتيار لكل مغذٍ</w:t>
            </w:r>
          </w:p>
        </w:tc>
      </w:tr>
      <w:tr>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التوصيلات</w:t>
            </w:r>
          </w:p>
        </w:tc>
        <w:tc>
          <w:tcPr>
            <w:tcW w:type="dxa" w:w="432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قضبان أطراف نحاسية، قضيب أرضي مستقل، مداخل كابلات بموانع تسرب</w:t>
            </w:r>
          </w:p>
        </w:tc>
      </w:tr>
      <w:tr>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لوحة البيانات</w:t>
            </w:r>
          </w:p>
        </w:tc>
        <w:tc>
          <w:tcPr>
            <w:tcW w:type="dxa" w:w="432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مخطط أحادي الخط داخل الباب + بطاقة بيانات المشروع</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3.4 التأريض والحماية</w:t>
      </w:r>
    </w:p>
    <w:p>
      <w:pPr>
        <w:spacing w:after="60"/>
        <w:ind w:right="504"/>
        <w:jc w:val="right"/>
        <w:bidi w:val="1"/>
      </w:pPr>
      <w:r>
        <w:rPr>
          <w:rFonts w:ascii="Calibri" w:hAnsi="Calibri"/>
          <w:color w:val="1A202C"/>
          <w:sz w:val="22"/>
          <w:rtl w:val="1"/>
        </w:rPr>
        <w:t>موصل تأريض نحاسي 16 مم² (أخضر/أصفر) ممتد مع الكابل على كامل المسار وموصول بجسم كل عمود.</w:t>
      </w:r>
      <w:r>
        <w:rPr>
          <w:rFonts w:ascii="Calibri" w:hAnsi="Calibri"/>
          <w:color w:val="B8956B"/>
          <w:sz w:val="22"/>
        </w:rPr>
        <w:t xml:space="preserve">  •</w:t>
      </w:r>
    </w:p>
    <w:p>
      <w:pPr>
        <w:spacing w:after="60"/>
        <w:ind w:right="504"/>
        <w:jc w:val="right"/>
        <w:bidi w:val="1"/>
      </w:pPr>
      <w:r>
        <w:rPr>
          <w:rFonts w:ascii="Calibri" w:hAnsi="Calibri"/>
          <w:color w:val="1A202C"/>
          <w:sz w:val="22"/>
          <w:rtl w:val="1"/>
        </w:rPr>
        <w:t>أقطاب تأريض نحاسية بطول 3 أمتار كل أربعة أعمدة تقريباً (14 قطباً)، مع شريط نحاسي 25×3 مم لربط الأقطاب.</w:t>
      </w:r>
      <w:r>
        <w:rPr>
          <w:rFonts w:ascii="Calibri" w:hAnsi="Calibri"/>
          <w:color w:val="B8956B"/>
          <w:sz w:val="22"/>
        </w:rPr>
        <w:t xml:space="preserve">  •</w:t>
      </w:r>
    </w:p>
    <w:p>
      <w:pPr>
        <w:spacing w:after="60"/>
        <w:ind w:right="504"/>
        <w:jc w:val="right"/>
        <w:bidi w:val="1"/>
      </w:pPr>
      <w:r>
        <w:rPr>
          <w:rFonts w:ascii="Calibri" w:hAnsi="Calibri"/>
          <w:color w:val="1A202C"/>
          <w:sz w:val="22"/>
          <w:rtl w:val="1"/>
        </w:rPr>
        <w:t>مقاومة القطب الواحد لا تزيد على 5 أوم، ومقاومة التأريض الكلية تُقاس وتُسجَّل قبل التغذية.</w:t>
      </w:r>
      <w:r>
        <w:rPr>
          <w:rFonts w:ascii="Calibri" w:hAnsi="Calibri"/>
          <w:color w:val="B8956B"/>
          <w:sz w:val="22"/>
        </w:rPr>
        <w:t xml:space="preserve">  •</w:t>
      </w:r>
    </w:p>
    <w:p>
      <w:pPr>
        <w:spacing w:after="60"/>
        <w:ind w:right="504"/>
        <w:jc w:val="right"/>
        <w:bidi w:val="1"/>
      </w:pPr>
      <w:r>
        <w:rPr>
          <w:rFonts w:ascii="Calibri" w:hAnsi="Calibri"/>
          <w:color w:val="1A202C"/>
          <w:sz w:val="22"/>
          <w:rtl w:val="1"/>
        </w:rPr>
        <w:t>تأريض متساوي الجهد داخل كل عمود بين جسم العمود والقاعدة والموصل الرئيسي.</w:t>
      </w:r>
      <w:r>
        <w:rPr>
          <w:rFonts w:ascii="Calibri" w:hAnsi="Calibri"/>
          <w:color w:val="B8956B"/>
          <w:sz w:val="22"/>
        </w:rPr>
        <w:t xml:space="preserve">  •</w:t>
      </w:r>
    </w:p>
    <w:p>
      <w:pPr>
        <w:spacing w:after="60"/>
        <w:ind w:right="504"/>
        <w:jc w:val="right"/>
        <w:bidi w:val="1"/>
      </w:pPr>
      <w:r>
        <w:rPr>
          <w:rFonts w:ascii="Calibri" w:hAnsi="Calibri"/>
          <w:color w:val="1A202C"/>
          <w:sz w:val="22"/>
          <w:rtl w:val="1"/>
        </w:rPr>
        <w:t>قاطع تسرب أرضي عند صندوق التغذية، وتأريض مستقل للصندوق لا يُستخدم كموصل عامل.</w:t>
      </w:r>
      <w:r>
        <w:rPr>
          <w:rFonts w:ascii="Calibri" w:hAnsi="Calibri"/>
          <w:color w:val="B8956B"/>
          <w:sz w:val="22"/>
        </w:rPr>
        <w:t xml:space="preserve">  •</w:t>
      </w:r>
    </w:p>
    <w:p>
      <w:pPr>
        <w:spacing w:after="60"/>
        <w:ind w:right="504"/>
        <w:jc w:val="right"/>
        <w:bidi w:val="1"/>
      </w:pPr>
      <w:r>
        <w:rPr>
          <w:rFonts w:ascii="Calibri" w:hAnsi="Calibri"/>
          <w:color w:val="1A202C"/>
          <w:sz w:val="22"/>
          <w:rtl w:val="1"/>
        </w:rPr>
        <w:t>فصل واضح بين الموصل المحايد وموصل الحماية، ووسم جميع الموصلات عند الأطراف.</w:t>
      </w:r>
      <w:r>
        <w:rPr>
          <w:rFonts w:ascii="Calibri" w:hAnsi="Calibri"/>
          <w:color w:val="B8956B"/>
          <w:sz w:val="22"/>
        </w:rPr>
        <w:t xml:space="preserve">  •</w:t>
      </w:r>
    </w:p>
    <w:p>
      <w:pPr>
        <w:pStyle w:val="Heading1"/>
        <w:spacing w:before="360" w:after="160"/>
        <w:jc w:val="right"/>
        <w:keepNext/>
        <w:bidi w:val="1"/>
        <w:pBdr>
          <w:bottom w:val="single" w:sz="12" w:space="6" w:color="B8956B"/>
        </w:pBdr>
      </w:pPr>
      <w:r>
        <w:rPr>
          <w:rFonts w:ascii="Calibri" w:hAnsi="Calibri"/>
          <w:b/>
          <w:color w:val="0A192F"/>
          <w:sz w:val="44"/>
          <w:rtl w:val="1"/>
        </w:rPr>
        <w:t>4. مراحل التنفيذ</w:t>
      </w:r>
    </w:p>
    <w:p>
      <w:pPr>
        <w:spacing w:after="160" w:line="276" w:lineRule="auto"/>
        <w:jc w:val="right"/>
        <w:bidi w:val="1"/>
      </w:pPr>
      <w:r>
        <w:rPr>
          <w:rFonts w:ascii="Calibri" w:hAnsi="Calibri"/>
          <w:color w:val="1A202C"/>
          <w:sz w:val="22"/>
          <w:rtl w:val="1"/>
        </w:rPr>
        <w:t>قُسِّم العمل إلى تسع مراحل متتابعة جزئياً، بمدة إجمالية 16 أسبوعاً. المدد مبنية على معدلات إنتاج واقعية: نحو 100 متر حفر يومياً بفريق واحد ومعدة، و3 إلى 4 أعمدة يومياً بعد جاهزية القواعد، ونحو 700 متر سحب كابل أسبوعياً.</w:t>
      </w:r>
    </w:p>
    <w:tbl>
      <w:tblPr>
        <w:tblStyle w:val="TableGrid"/>
        <w:tblW w:type="auto" w:w="0"/>
        <w:tblLayout w:type="autofit"/>
        <w:tblLook w:firstColumn="1" w:firstRow="1" w:lastColumn="0" w:lastRow="0" w:noHBand="0" w:noVBand="1" w:val="04A0"/>
      </w:tblPr>
      <w:tblGrid>
        <w:gridCol w:w="2160"/>
        <w:gridCol w:w="2160"/>
        <w:gridCol w:w="2160"/>
        <w:gridCol w:w="2160"/>
      </w:tblGrid>
      <w:tr>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المرحلة</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الأعمال</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المدة</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المخرج</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 التصميم والاعتماد</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رفع مساحي، مخطط المسار، حساب إضاءة، مخططات تنفيذية، مواصفات، جدول كميات</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أسبوعان</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حزمة تصميم معتمدة</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2. التصاريح والتنسيق</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مخاطبة شركة التوزيع لتحديد نقطة التغذية، البلدية، الشرطة، مزودو الخدمات (مياه، اتصالات، غاز)</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3 أسابيع (متوازية)</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تصاريح ومحضر تحديد مسار</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3. التوريد</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أعمدة، كشافات، كابلات، قنوات، صندوق تغذية، مواد تأريض</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6 أسابيع</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مواد مطابقة مع شهادات</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4. الحفر والقنوات</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خندق 2000 متر بعمق 0.6 متر، فرشة رمل، قنوات HDPE، شريط تحذير، ردم ودمك</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4 أسابيع</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محضر فحص قبل الردم</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5. القواعد وتثبيت الأعمدة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حفر وصب القواعد، مسامير التثبيت، تركيب الأعمدة، ضبط الاستقامة والميل</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3 أسابيع</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محضر تركيب أعمدة</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6. سحب الكابلات والتأريض</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سحب 2100 متر، الوصلات والتفرعات، الأطراف، أقطاب التأريض والشريط</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3 أسابيع</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اختبارات عزل وتأريض</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7. صندوق التغذية والتركيبات</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تركيب الصندوق والقواطع والتحكم، تركيب الكشافات، التوصيلات داخل الأعمدة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أسبوعان</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محضر جاهزية للتشغيل</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8. الاختبارات والتشغيل</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فحص بصري، عزل، استمرارية تأريض، اختبار التسرب، قياس الإضاءة، تشغيل متواصل 72 ساعة</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أسبوعان</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تقرير اختبارات وتشغيل</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9. الاستلام والتوثيق</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مخططات كما نُفِّذ، قوائم كابلات، محضر استلام ابتدائي، إغلاق الملاحظات</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أسبوعان</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محضر استلام وملف المشروع</w:t>
            </w:r>
          </w:p>
        </w:tc>
      </w:tr>
    </w:tbl>
    <w:p>
      <w:pPr>
        <w:spacing w:after="120"/>
      </w:pPr>
    </w:p>
    <w:p>
      <w:pPr>
        <w:pStyle w:val="Heading1"/>
        <w:spacing w:before="360" w:after="160"/>
        <w:jc w:val="right"/>
        <w:keepNext/>
        <w:bidi w:val="1"/>
        <w:pBdr>
          <w:bottom w:val="single" w:sz="12" w:space="6" w:color="B8956B"/>
        </w:pBdr>
      </w:pPr>
      <w:r>
        <w:rPr>
          <w:rFonts w:ascii="Calibri" w:hAnsi="Calibri"/>
          <w:b/>
          <w:color w:val="0A192F"/>
          <w:sz w:val="44"/>
          <w:rtl w:val="1"/>
        </w:rPr>
        <w:t>5. الجدول الزمني والاعتماديات</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المرحلة</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من</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إلى</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 التصميم والاعتماد</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01/11/2026</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12/11/2026</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2. التصاريح والتنسيق</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08/11/2026</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26/11/2026</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3. التوريد</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15/11/2026</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24/12/2026</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4. الحفر والقنوات</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20/12/2026</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14/01/2027</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5. القواعد وتثبيت الأعمدة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10/01/2027</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28/01/2027</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6. سحب الكابلات والتأريض</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24/01/2027</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11/02/2027</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7. صندوق التغذية والتركيبات</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07/02/2027</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18/02/2027</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8. الاختبارات والتشغيل</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15/02/2027</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25/02/2027</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9. الاستلام والتوثيق</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22/02/2027</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04/03/2027</w:t>
            </w:r>
          </w:p>
        </w:tc>
      </w:tr>
    </w:tbl>
    <w:p>
      <w:pPr>
        <w:spacing w:after="120"/>
      </w:pPr>
    </w:p>
    <w:p>
      <w:pPr>
        <w:spacing w:after="160" w:line="276" w:lineRule="auto"/>
        <w:jc w:val="right"/>
        <w:bidi w:val="1"/>
      </w:pPr>
      <w:r>
        <w:rPr>
          <w:rFonts w:ascii="Calibri" w:hAnsi="Calibri"/>
          <w:b/>
          <w:color w:val="1A202C"/>
          <w:sz w:val="22"/>
          <w:rtl w:val="1"/>
        </w:rPr>
        <w:t>المسار الحرج:</w:t>
      </w:r>
      <w:r>
        <w:rPr>
          <w:rFonts w:ascii="Calibri" w:hAnsi="Calibri"/>
          <w:color w:val="1A202C"/>
          <w:sz w:val="22"/>
          <w:rtl w:val="1"/>
        </w:rPr>
        <w:t xml:space="preserve"> التوريد ← الحفر والقنوات ← الأعمدة ← سحب الكابلات ← الاختبارات. أي تأخير في التوريد ينتقل مباشرة إلى تاريخ الإنجاز، ويُنصح بربطه بشرط جزائي وبتاريخ تسليم واضح. أما التصاريح فهي الخطر الثاني على البرنامج، لأن اعتماد نقطة التغذية من شركة التوزيع قد يستغرق وقتاً أطول من المدة المخصصة، ويُفترض بدء المخاطبة في الأسبوع الأول لا في الأسبوع الثاني.</w:t>
      </w:r>
    </w:p>
    <w:p>
      <w:pPr>
        <w:pStyle w:val="Heading1"/>
        <w:spacing w:before="360" w:after="160"/>
        <w:jc w:val="right"/>
        <w:keepNext/>
        <w:bidi w:val="1"/>
        <w:pBdr>
          <w:bottom w:val="single" w:sz="12" w:space="6" w:color="B8956B"/>
        </w:pBdr>
      </w:pPr>
      <w:r>
        <w:rPr>
          <w:rFonts w:ascii="Calibri" w:hAnsi="Calibri"/>
          <w:b/>
          <w:color w:val="0A192F"/>
          <w:sz w:val="44"/>
          <w:rtl w:val="1"/>
        </w:rPr>
        <w:t>6. جدول الكميات التقديري</w:t>
      </w:r>
    </w:p>
    <w:p>
      <w:pPr>
        <w:spacing w:after="160" w:line="276" w:lineRule="auto"/>
        <w:jc w:val="right"/>
        <w:bidi w:val="1"/>
      </w:pPr>
      <w:r>
        <w:rPr>
          <w:rFonts w:ascii="Calibri" w:hAnsi="Calibri"/>
          <w:color w:val="1A202C"/>
          <w:sz w:val="22"/>
          <w:rtl w:val="1"/>
        </w:rPr>
        <w:t>الكميات التالية تقديرية ومشتقة من الأبعاد الافتراضية، وتُعتمد بعد الرفع المساحي وتأكيد موضع صندوق التغذية وعدد نقاط العبور. لم تُدرج أسعار لأنها تعتمد على التوريد المحلي وأسعار الفترة، ويُسعَّر الجدول عند الطرح.</w:t>
      </w:r>
    </w:p>
    <w:tbl>
      <w:tblPr>
        <w:tblStyle w:val="TableGrid"/>
        <w:tblW w:type="auto" w:w="0"/>
        <w:tblLayout w:type="autofit"/>
        <w:tblLook w:firstColumn="1" w:firstRow="1" w:lastColumn="0" w:lastRow="0" w:noHBand="0" w:noVBand="1" w:val="04A0"/>
      </w:tblPr>
      <w:tblGrid>
        <w:gridCol w:w="1728"/>
        <w:gridCol w:w="1728"/>
        <w:gridCol w:w="1728"/>
        <w:gridCol w:w="1728"/>
        <w:gridCol w:w="1728"/>
      </w:tblGrid>
      <w:tr>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البند</w:t>
            </w:r>
          </w:p>
        </w:tc>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الوصف</w:t>
            </w:r>
          </w:p>
        </w:tc>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الوحدة</w:t>
            </w:r>
          </w:p>
        </w:tc>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الكمية</w:t>
            </w:r>
          </w:p>
        </w:tc>
        <w:tc>
          <w:tcPr>
            <w:tcW w:type="dxa" w:w="1728"/>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ملاحظة</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حفر خندق بعمق 0.70 متر وعرض 0.40 متر</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متر طولي</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2000</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مع فرشة رمل 10 سم وردم ودمك</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أعمال ردم وفرشة رمل</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متر مكعب</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560</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محسوبة على مقطع الخندق 0.28 م²</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قناة HDPE قطر 110 مم</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متر</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2100</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مسار واحد مع احتياطي عند العبورات</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كابل ألمنيوم 4×50 مم² XLPE/SWA/PVC</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متر</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2100</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المسار + 5% احتياطي</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موصل تأريض نحاسي 16 مم²</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متر</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2100</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ممتد مع الكابل</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شريط نحاسي 25×3 مم</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متر</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2000</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ربط أقطاب التأريض</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قضيب تأريض نحاسي 3 أمتار</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كل أربعة أعمدة + الصندوق</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8</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عمود إنارة 10 أمتار مجلفن مع ذراع 1.5 م ومسامير M24</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حسب المواصفة</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9</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كشاف LED بقدرة 150 واط، IP66</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مع كابل داخلي وموصلات</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10</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قاعدة خرسانية 60×60×120 سم مسلحة</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خرسانة 0.432 م³ للقاعدة</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11</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قاطع حماية داخل العمود 6 أمبير + أطراف</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باب خدمة قابل للقفل</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صندوق تغذية كامل بمغذيين</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كما في القسم 3.3</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13</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صندوق تفتيش/سحب</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24</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عند التفرعات والعبور وكل 100 متر</w:t>
            </w:r>
          </w:p>
        </w:tc>
      </w:tr>
      <w:tr>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أعمال عبور أسفلت (حفر أفقي + قناة 150 مم)</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عدد</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w:t>
            </w:r>
          </w:p>
        </w:tc>
        <w:tc>
          <w:tcPr>
            <w:tcW w:type="dxa" w:w="1728"/>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تقديري حسب الموقع</w:t>
            </w:r>
          </w:p>
        </w:tc>
      </w:tr>
      <w:tr>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15</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اختبارات وتشغيل وتوثيق</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مقطوعية</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728"/>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يشمل مخططات كما نُفِّذ</w:t>
            </w:r>
          </w:p>
        </w:tc>
      </w:tr>
    </w:tbl>
    <w:p>
      <w:pPr>
        <w:spacing w:after="120"/>
      </w:pPr>
    </w:p>
    <w:p>
      <w:pPr>
        <w:pStyle w:val="Heading1"/>
        <w:spacing w:before="360" w:after="160"/>
        <w:jc w:val="right"/>
        <w:keepNext/>
        <w:bidi w:val="1"/>
        <w:pBdr>
          <w:bottom w:val="single" w:sz="12" w:space="6" w:color="B8956B"/>
        </w:pBdr>
      </w:pPr>
      <w:r>
        <w:rPr>
          <w:rFonts w:ascii="Calibri" w:hAnsi="Calibri"/>
          <w:b/>
          <w:color w:val="0A192F"/>
          <w:sz w:val="44"/>
          <w:rtl w:val="1"/>
        </w:rPr>
        <w:t>7. المواصفات الفنية المختصرة</w:t>
      </w:r>
    </w:p>
    <w:p>
      <w:pPr>
        <w:spacing w:after="60"/>
        <w:ind w:right="504"/>
        <w:jc w:val="right"/>
        <w:bidi w:val="1"/>
      </w:pPr>
      <w:r>
        <w:rPr>
          <w:rFonts w:ascii="Calibri" w:hAnsi="Calibri"/>
          <w:color w:val="1A202C"/>
          <w:sz w:val="22"/>
          <w:rtl w:val="1"/>
        </w:rPr>
        <w:t>الأعمدة: فولاذ مجلفن بالغمس الساخن بسمك طلاء لا يقل عن 85 ميكرون، ارتفاع 10 أمتار، مقاومة الرياح حسب كود البلدية، قاعدة بلاطة 60×60×120 سم بأربعة مسامير M24، وباب خدمة بمفصلة وقفل.</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الكشافات: LED بقدرة 150 واط، درجة حماية IP66 ومقاومة صدم IK08، معامل قدرة لا يقل عن 0.90، عمر تشغيلي لا يقل عن 50,000 ساعة، وشهادة مطابقة للقياسات الضوئية.</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الكابلات: ألمنيوم 4×50 مم²، 0.6/1 كيلوفولت، عزل XLPE، تسليح فولاذي، غلاف PVC مقاوم للأشعة، ومطابقة للمواصفة المعتمدة.</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القنوات: HDPE ذات جدار مزدوج، مقاومة للانحناء والضغط، مع سلك سحب داخل كل قناة.</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الصناديق: IP65 على الأقل، مع قاعدة خرسانية مرتفعة 20 سم عن منسوب الأرض الطبيعية.</w:t>
      </w:r>
      <w:r>
        <w:rPr>
          <w:rFonts w:ascii="Calibri" w:hAnsi="Calibri"/>
          <w:color w:val="B8956B"/>
          <w:sz w:val="22"/>
        </w:rPr>
        <w:t xml:space="preserve">  •</w:t>
      </w:r>
    </w:p>
    <w:p>
      <w:pPr>
        <w:spacing w:after="60"/>
        <w:ind w:right="504"/>
        <w:jc w:val="right"/>
        <w:bidi w:val="1"/>
      </w:pPr>
      <w:r>
        <w:rPr>
          <w:rFonts w:ascii="Calibri" w:hAnsi="Calibri"/>
          <w:color w:val="1A202C"/>
          <w:sz w:val="22"/>
          <w:rtl w:val="1"/>
        </w:rPr>
        <w:t>كل المواد بشهادات منشأ واختبارات نوعية معتمدة، وأي مادة غير مطابقة تُرفض وتُزال من الموقع.</w:t>
      </w:r>
      <w:r>
        <w:rPr>
          <w:rFonts w:ascii="Calibri" w:hAnsi="Calibri"/>
          <w:color w:val="B8956B"/>
          <w:sz w:val="22"/>
        </w:rPr>
        <w:t xml:space="preserve">  •</w:t>
      </w:r>
    </w:p>
    <w:p>
      <w:pPr>
        <w:pStyle w:val="Heading1"/>
        <w:spacing w:before="360" w:after="160"/>
        <w:jc w:val="right"/>
        <w:keepNext/>
        <w:bidi w:val="1"/>
        <w:pBdr>
          <w:bottom w:val="single" w:sz="12" w:space="6" w:color="B8956B"/>
        </w:pBdr>
      </w:pPr>
      <w:r>
        <w:rPr>
          <w:rFonts w:ascii="Calibri" w:hAnsi="Calibri"/>
          <w:b/>
          <w:color w:val="0A192F"/>
          <w:sz w:val="44"/>
          <w:rtl w:val="1"/>
        </w:rPr>
        <w:t>8. خطة الجودة والاختبارات</w:t>
      </w:r>
    </w:p>
    <w:p>
      <w:pPr>
        <w:spacing w:after="160" w:line="276" w:lineRule="auto"/>
        <w:jc w:val="right"/>
        <w:bidi w:val="1"/>
      </w:pPr>
      <w:r>
        <w:rPr>
          <w:rFonts w:ascii="Calibri" w:hAnsi="Calibri"/>
          <w:color w:val="1A202C"/>
          <w:sz w:val="22"/>
          <w:rtl w:val="1"/>
        </w:rPr>
        <w:t>الاختبارات تُنفَّذ على مراحل ولا يُغطى أي عمل قبل فحصه. النقاط التالية هي نقاط التوقف الإلزامية: فحص الخندق قبل الردم، فحص القواعد قبل الصب، فحص العزل قبل التوصيل وبعده، وفحص التأريض قبل التغذية.</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الاختبار</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المعيار</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التوقيت</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مقاومة عزل الكابل</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لا تقل عن 1 ميجا أوم عند 500/1000 فولت</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قبل التوصيل وبعده</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استمرارية موصل التأريض</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لا تزيد المقاومة على 1 أوم</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بعد التركيب</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مقاومة قطب التأريض</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لا تزيد على 5 أوم للقطب</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بعد الدفن</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اختبار قاطع التسرب</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تيار الفصل ≤ 300 مللي أمبير وزمن ≤ 300 مللي ثانية</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قبل التشغيل</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استقامة الأعمدة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الميل لا يزيد على 1% في أي اتجاه</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بعد التركيب</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ارتفاع واتجاه الكشافات</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حسب المخطط التنفيذي</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بعد التركيب</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قياس شدة الإضاءة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مطابقة فئة الطريق المعتمدة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بعد 100 ساعة تشغيل</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تشغيل متواصل</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72 ساعة بدون فصل أو ارتفاع حرارة</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قبل الاستلام</w:t>
            </w:r>
          </w:p>
        </w:tc>
      </w:tr>
    </w:tbl>
    <w:p>
      <w:pPr>
        <w:spacing w:after="120"/>
      </w:pPr>
    </w:p>
    <w:p>
      <w:pPr>
        <w:pStyle w:val="Heading1"/>
        <w:spacing w:before="360" w:after="160"/>
        <w:jc w:val="right"/>
        <w:keepNext/>
        <w:bidi w:val="1"/>
        <w:pBdr>
          <w:bottom w:val="single" w:sz="12" w:space="6" w:color="B8956B"/>
        </w:pBdr>
      </w:pPr>
      <w:r>
        <w:rPr>
          <w:rFonts w:ascii="Calibri" w:hAnsi="Calibri"/>
          <w:b/>
          <w:color w:val="0A192F"/>
          <w:sz w:val="44"/>
          <w:rtl w:val="1"/>
        </w:rPr>
        <w:t>9. السلامة والصحة المهنية</w:t>
      </w:r>
    </w:p>
    <w:p>
      <w:pPr>
        <w:spacing w:after="60"/>
        <w:ind w:right="504"/>
        <w:jc w:val="right"/>
        <w:bidi w:val="1"/>
      </w:pPr>
      <w:r>
        <w:rPr>
          <w:rFonts w:ascii="Calibri" w:hAnsi="Calibri"/>
          <w:color w:val="1A202C"/>
          <w:sz w:val="22"/>
          <w:rtl w:val="1"/>
        </w:rPr>
        <w:t>تنظيم المرور ومخاريط تحذيرية وسواتر عند العمل على الطريق أو على أكتافه، وتصريح عمل ليلي عند الحاجة.</w:t>
      </w:r>
      <w:r>
        <w:rPr>
          <w:rFonts w:ascii="Calibri" w:hAnsi="Calibri"/>
          <w:color w:val="B8956B"/>
          <w:sz w:val="22"/>
        </w:rPr>
        <w:t xml:space="preserve">  •</w:t>
      </w:r>
    </w:p>
    <w:p>
      <w:pPr>
        <w:spacing w:after="60"/>
        <w:ind w:right="504"/>
        <w:jc w:val="right"/>
        <w:bidi w:val="1"/>
      </w:pPr>
      <w:r>
        <w:rPr>
          <w:rFonts w:ascii="Calibri" w:hAnsi="Calibri"/>
          <w:color w:val="1A202C"/>
          <w:sz w:val="22"/>
          <w:rtl w:val="1"/>
        </w:rPr>
        <w:t>تأمين الموقع بالكامل قبل أي عمل كهربائي، وتطبيق إجراءات العزل والقفل والبطاقة (LOTO) والتحقق من خلو المعدات من الجهد بجهاز قياس معاير.</w:t>
      </w:r>
      <w:r>
        <w:rPr>
          <w:rFonts w:ascii="Calibri" w:hAnsi="Calibri"/>
          <w:color w:val="B8956B"/>
          <w:sz w:val="22"/>
        </w:rPr>
        <w:t xml:space="preserve">  •</w:t>
      </w:r>
    </w:p>
    <w:p>
      <w:pPr>
        <w:spacing w:after="60"/>
        <w:ind w:right="504"/>
        <w:jc w:val="right"/>
        <w:bidi w:val="1"/>
      </w:pPr>
      <w:r>
        <w:rPr>
          <w:rFonts w:ascii="Calibri" w:hAnsi="Calibri"/>
          <w:color w:val="1A202C"/>
          <w:sz w:val="22"/>
          <w:rtl w:val="1"/>
        </w:rPr>
        <w:t>منع العمل على كابلات أو لوحات غير مؤرَّضة، ومنع التغذية قبل اعتماد نتائج اختبار التأريض.</w:t>
      </w:r>
      <w:r>
        <w:rPr>
          <w:rFonts w:ascii="Calibri" w:hAnsi="Calibri"/>
          <w:color w:val="B8956B"/>
          <w:sz w:val="22"/>
        </w:rPr>
        <w:t xml:space="preserve">  •</w:t>
      </w:r>
    </w:p>
    <w:p>
      <w:pPr>
        <w:spacing w:after="60"/>
        <w:ind w:right="504"/>
        <w:jc w:val="right"/>
        <w:bidi w:val="1"/>
      </w:pPr>
      <w:r>
        <w:rPr>
          <w:rFonts w:ascii="Calibri" w:hAnsi="Calibri"/>
          <w:color w:val="1A202C"/>
          <w:sz w:val="22"/>
          <w:rtl w:val="1"/>
        </w:rPr>
        <w:t>اعتماد مشرف سلامة ومعدات وقاية شخصية إلزامية، وخطة إخلاء ونقطة تجمع معروفة للفريق.</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التحقق من الخدمات المدفونة (مياه، اتصالات، كهرباء) قبل الحفر، والحفر اليدوي عند الاقتراب من الخدمات.</w:t>
      </w:r>
      <w:r>
        <w:rPr>
          <w:rFonts w:ascii="Calibri" w:hAnsi="Calibri"/>
          <w:color w:val="B8956B"/>
          <w:sz w:val="22"/>
        </w:rPr>
        <w:t xml:space="preserve">  •</w:t>
      </w:r>
    </w:p>
    <w:p>
      <w:pPr>
        <w:spacing w:after="60"/>
        <w:ind w:right="504"/>
        <w:jc w:val="right"/>
        <w:bidi w:val="1"/>
      </w:pPr>
      <w:r>
        <w:rPr>
          <w:rFonts w:ascii="Calibri" w:hAnsi="Calibri"/>
          <w:color w:val="1A202C"/>
          <w:sz w:val="22"/>
          <w:rtl w:val="1"/>
        </w:rPr>
        <w:t>تسجيل كل حادث أو شبه حادث وتوثيقه، وإيقاف العمل عند أي خطر غير مسيطر عليه.</w:t>
      </w:r>
      <w:r>
        <w:rPr>
          <w:rFonts w:ascii="Calibri" w:hAnsi="Calibri"/>
          <w:color w:val="B8956B"/>
          <w:sz w:val="22"/>
        </w:rPr>
        <w:t xml:space="preserve">  •</w:t>
      </w:r>
    </w:p>
    <w:p>
      <w:pPr>
        <w:pStyle w:val="Heading1"/>
        <w:spacing w:before="360" w:after="160"/>
        <w:jc w:val="right"/>
        <w:keepNext/>
        <w:bidi w:val="1"/>
        <w:pBdr>
          <w:bottom w:val="single" w:sz="12" w:space="6" w:color="B8956B"/>
        </w:pBdr>
      </w:pPr>
      <w:r>
        <w:rPr>
          <w:rFonts w:ascii="Calibri" w:hAnsi="Calibri"/>
          <w:b/>
          <w:color w:val="0A192F"/>
          <w:sz w:val="44"/>
          <w:rtl w:val="1"/>
        </w:rPr>
        <w:t>10. المخاطر وضوابطها</w:t>
      </w:r>
    </w:p>
    <w:tbl>
      <w:tblPr>
        <w:tblStyle w:val="TableGrid"/>
        <w:tblW w:type="auto" w:w="0"/>
        <w:tblLayout w:type="autofit"/>
        <w:tblLook w:firstColumn="1" w:firstRow="1" w:lastColumn="0" w:lastRow="0" w:noHBand="0" w:noVBand="1" w:val="04A0"/>
      </w:tblPr>
      <w:tblGrid>
        <w:gridCol w:w="2160"/>
        <w:gridCol w:w="2160"/>
        <w:gridCol w:w="2160"/>
        <w:gridCol w:w="2160"/>
      </w:tblGrid>
      <w:tr>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الخطر</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الاحتمال</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الأثر</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الضابط</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تأخر اعتماد نقطة التغذية من شركة التوزيع</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عالٍ</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مخاطبة في الأسبوع الأول، بديل مؤقت، متابعة أسبوعية موثقة</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تعارض مع خدمات مدفونة</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عالٍ</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حفر تجريبي، محضر تحديد مسار مع الجهات، إشراف ميداني</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تأخر توريد الأعمدة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عالٍ</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شرط جزائي، مورد بديل معتمد، جدول تسليم مرحلي</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عبور طريق بحركة مرورية</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عالٍ</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تصريح عبور، تنظيم مرور، عمل ليلي، تنسيق مع الشرطة</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تخريب أو سرقة الكابلات</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منخفض</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عمق ردم كافٍ، شريط تحذير، تنسيق أمني، تسليم على مراحل</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عدم مطابقة الإضاءة للفئة المطلوبة</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حساب إضاءة معتمد قبل التوريد، وقياس ميداني بعد التركيب</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أحوال جوية (أمطار، غبار، حرارة)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منخفض</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جدولة مرنة، إجراءات إيقاف عمل محددة</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تجاوز الكميات الفعلية للتقديرية</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متوسط</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قياس مشترك للأعمال، أوامر تغيير موثقة قبل التنفيذ</w:t>
            </w:r>
          </w:p>
        </w:tc>
      </w:tr>
    </w:tbl>
    <w:p>
      <w:pPr>
        <w:spacing w:after="120"/>
      </w:pPr>
    </w:p>
    <w:p>
      <w:pPr>
        <w:pStyle w:val="Heading1"/>
        <w:spacing w:before="360" w:after="160"/>
        <w:jc w:val="right"/>
        <w:keepNext/>
        <w:bidi w:val="1"/>
        <w:pBdr>
          <w:bottom w:val="single" w:sz="12" w:space="6" w:color="B8956B"/>
        </w:pBdr>
      </w:pPr>
      <w:r>
        <w:rPr>
          <w:rFonts w:ascii="Calibri" w:hAnsi="Calibri"/>
          <w:b/>
          <w:color w:val="0A192F"/>
          <w:sz w:val="44"/>
          <w:rtl w:val="1"/>
        </w:rPr>
        <w:t>11. التسليمات والمستندات</w:t>
      </w:r>
    </w:p>
    <w:p>
      <w:pPr>
        <w:spacing w:after="60"/>
        <w:ind w:right="504"/>
        <w:jc w:val="right"/>
        <w:bidi w:val="1"/>
      </w:pPr>
      <w:r>
        <w:rPr>
          <w:rFonts w:ascii="Calibri" w:hAnsi="Calibri"/>
          <w:color w:val="1A202C"/>
          <w:sz w:val="22"/>
          <w:rtl w:val="1"/>
        </w:rPr>
        <w:t>حزمة تصميم معتمدة: مخطط المسار، المخططات التنفيذية، حساب الإضاءة، المواصفات، جدول الكميات.</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التصاريح ومحاضر تحديد المسار مع الجهات ومزودي الخدمات.</w:t>
      </w:r>
      <w:r>
        <w:rPr>
          <w:rFonts w:ascii="Calibri" w:hAnsi="Calibri"/>
          <w:color w:val="B8956B"/>
          <w:sz w:val="22"/>
        </w:rPr>
        <w:t xml:space="preserve">  •</w:t>
      </w:r>
    </w:p>
    <w:p>
      <w:pPr>
        <w:spacing w:after="60"/>
        <w:ind w:right="504"/>
        <w:jc w:val="right"/>
        <w:bidi w:val="1"/>
      </w:pPr>
      <w:r>
        <w:rPr>
          <w:rFonts w:ascii="Calibri" w:hAnsi="Calibri"/>
          <w:color w:val="1A202C"/>
          <w:sz w:val="22"/>
          <w:rtl w:val="1"/>
        </w:rPr>
        <w:t>شهادات المواد واختبارات النوعية وشهادات المنشأ.</w:t>
      </w:r>
      <w:r>
        <w:rPr>
          <w:rFonts w:ascii="Calibri" w:hAnsi="Calibri"/>
          <w:color w:val="B8956B"/>
          <w:sz w:val="22"/>
        </w:rPr>
        <w:t xml:space="preserve">  •</w:t>
      </w:r>
    </w:p>
    <w:p>
      <w:pPr>
        <w:spacing w:after="60"/>
        <w:ind w:right="504"/>
        <w:jc w:val="right"/>
        <w:bidi w:val="1"/>
      </w:pPr>
      <w:r>
        <w:rPr>
          <w:rFonts w:ascii="Calibri" w:hAnsi="Calibri"/>
          <w:color w:val="1A202C"/>
          <w:sz w:val="22"/>
          <w:rtl w:val="1"/>
        </w:rPr>
        <w:t>محاضر الفحص: تسليم موقع، فحص خندق قبل الردم، فحص قواعد، فحص تركيب، جاهزية للتشغيل.</w:t>
      </w:r>
      <w:r>
        <w:rPr>
          <w:rFonts w:ascii="Calibri" w:hAnsi="Calibri"/>
          <w:color w:val="B8956B"/>
          <w:sz w:val="22"/>
        </w:rPr>
        <w:t xml:space="preserve">  •</w:t>
      </w:r>
    </w:p>
    <w:p>
      <w:pPr>
        <w:spacing w:after="60"/>
        <w:ind w:right="504"/>
        <w:jc w:val="right"/>
        <w:bidi w:val="1"/>
      </w:pPr>
      <w:r>
        <w:rPr>
          <w:rFonts w:ascii="Calibri" w:hAnsi="Calibri"/>
          <w:color w:val="1A202C"/>
          <w:sz w:val="22"/>
          <w:rtl w:val="1"/>
        </w:rPr>
        <w:t>تقارير الاختبارات: العزل، التأريض، قاطع التسرب، قياس الإضاءة، التشغيل المتواصل.</w:t>
      </w:r>
      <w:r>
        <w:rPr>
          <w:rFonts w:ascii="Calibri" w:hAnsi="Calibri"/>
          <w:color w:val="B8956B"/>
          <w:sz w:val="22"/>
        </w:rPr>
        <w:t xml:space="preserve">  •</w:t>
      </w:r>
    </w:p>
    <w:p>
      <w:pPr>
        <w:spacing w:after="60"/>
        <w:ind w:right="504"/>
        <w:jc w:val="right"/>
        <w:bidi w:val="1"/>
      </w:pPr>
      <w:r>
        <w:rPr>
          <w:rFonts w:ascii="Calibri" w:hAnsi="Calibri"/>
          <w:color w:val="1A202C"/>
          <w:sz w:val="22"/>
          <w:rtl w:val="1"/>
        </w:rPr>
        <w:t>مخططات كما نُفِّذ (As-Built) وقوائم الكابلات ومواقع الصناديق والأقطاب.</w:t>
      </w:r>
      <w:r>
        <w:rPr>
          <w:rFonts w:ascii="Calibri" w:hAnsi="Calibri"/>
          <w:color w:val="B8956B"/>
          <w:sz w:val="22"/>
        </w:rPr>
        <w:t xml:space="preserve">  •</w:t>
      </w:r>
    </w:p>
    <w:p>
      <w:pPr>
        <w:spacing w:after="60"/>
        <w:ind w:right="504"/>
        <w:jc w:val="right"/>
        <w:bidi w:val="1"/>
      </w:pPr>
      <w:r>
        <w:rPr>
          <w:rFonts w:ascii="Calibri" w:hAnsi="Calibri"/>
          <w:color w:val="1A202C"/>
          <w:sz w:val="22"/>
          <w:rtl w:val="1"/>
        </w:rPr>
        <w:t>محضر الاستلام الابتدائي وقائمة الملاحظات وإغلاقها، ثم محضر الاستلام النهائي بعد فترة الضمان.</w:t>
      </w:r>
      <w:r>
        <w:rPr>
          <w:rFonts w:ascii="Calibri" w:hAnsi="Calibri"/>
          <w:color w:val="B8956B"/>
          <w:sz w:val="22"/>
        </w:rPr>
        <w:t xml:space="preserve">  •</w:t>
      </w:r>
    </w:p>
    <w:p>
      <w:pPr>
        <w:spacing w:after="60"/>
        <w:ind w:right="504"/>
        <w:jc w:val="right"/>
        <w:bidi w:val="1"/>
      </w:pPr>
      <w:r>
        <w:rPr>
          <w:rFonts w:ascii="Calibri" w:hAnsi="Calibri"/>
          <w:color w:val="1A202C"/>
          <w:sz w:val="22"/>
          <w:rtl w:val="1"/>
        </w:rPr>
        <w:t>دليل تشغيل وصيانة مختصر وخطة صيانة دورية (فحص بصري شهري، تنظيف سنوي، فحص تأريض سنوي).</w:t>
      </w:r>
      <w:r>
        <w:rPr>
          <w:rFonts w:ascii="Calibri" w:hAnsi="Calibri"/>
          <w:color w:val="B8956B"/>
          <w:sz w:val="22"/>
        </w:rPr>
        <w:t xml:space="preserve">  •</w:t>
      </w:r>
    </w:p>
    <w:p>
      <w:pPr>
        <w:pStyle w:val="Heading1"/>
        <w:spacing w:before="360" w:after="160"/>
        <w:jc w:val="right"/>
        <w:keepNext/>
        <w:bidi w:val="1"/>
        <w:pBdr>
          <w:bottom w:val="single" w:sz="12" w:space="6" w:color="B8956B"/>
        </w:pBdr>
      </w:pPr>
      <w:r>
        <w:rPr>
          <w:rFonts w:ascii="Calibri" w:hAnsi="Calibri"/>
          <w:b/>
          <w:color w:val="0A192F"/>
          <w:sz w:val="44"/>
          <w:rtl w:val="1"/>
        </w:rPr>
        <w:t>12. بيانات مطلوبة لاستكمال الخطة</w:t>
      </w:r>
    </w:p>
    <w:p>
      <w:pPr>
        <w:spacing w:after="60"/>
        <w:ind w:right="504"/>
        <w:jc w:val="right"/>
        <w:bidi w:val="1"/>
      </w:pPr>
      <w:r>
        <w:rPr>
          <w:rFonts w:ascii="Calibri" w:hAnsi="Calibri"/>
          <w:color w:val="1A202C"/>
          <w:sz w:val="22"/>
          <w:rtl w:val="1"/>
        </w:rPr>
        <w:t>نقطة التغذية: موقعها، ومسافة التمديد من الشبكة القائمة، وسعة المحول المتاح، وهل يمكن الوصول إلى نقطة منخفضة الجهد عند منتصف المسار.</w:t>
      </w:r>
      <w:r>
        <w:rPr>
          <w:rFonts w:ascii="Calibri" w:hAnsi="Calibri"/>
          <w:color w:val="B8956B"/>
          <w:sz w:val="22"/>
        </w:rPr>
        <w:t xml:space="preserve">  1.</w:t>
      </w:r>
    </w:p>
    <w:p>
      <w:pPr>
        <w:spacing w:after="60"/>
        <w:ind w:right="504"/>
        <w:jc w:val="right"/>
        <w:bidi w:val="1"/>
      </w:pPr>
      <w:r>
        <w:rPr>
          <w:rFonts w:ascii="Calibri" w:hAnsi="Calibri"/>
          <w:color w:val="1A202C"/>
          <w:sz w:val="22"/>
          <w:rtl w:val="1"/>
        </w:rPr>
        <w:t>سرعة الرياح التصميمية وفئة التعرض للموقع، لتثبيت مقاس القاعدة 60×60×120 سم أو تعديله.</w:t>
      </w:r>
      <w:r>
        <w:rPr>
          <w:rFonts w:ascii="Calibri" w:hAnsi="Calibri"/>
          <w:color w:val="B8956B"/>
          <w:sz w:val="22"/>
        </w:rPr>
        <w:t xml:space="preserve">  2.</w:t>
      </w:r>
    </w:p>
    <w:p>
      <w:pPr>
        <w:spacing w:after="60"/>
        <w:ind w:right="504"/>
        <w:jc w:val="right"/>
        <w:bidi w:val="1"/>
      </w:pPr>
      <w:r>
        <w:rPr>
          <w:rFonts w:ascii="Calibri" w:hAnsi="Calibri"/>
          <w:color w:val="1A202C"/>
          <w:sz w:val="22"/>
          <w:rtl w:val="1"/>
        </w:rPr>
        <w:t>تقرير جسة التربة: قدرة التحمل، كثافة التربة، ومنسوب المياه الجوفية عند مواقع القواعد.</w:t>
      </w:r>
      <w:r>
        <w:rPr>
          <w:rFonts w:ascii="Calibri" w:hAnsi="Calibri"/>
          <w:color w:val="B8956B"/>
          <w:sz w:val="22"/>
        </w:rPr>
        <w:t xml:space="preserve">  3.</w:t>
      </w:r>
    </w:p>
    <w:p>
      <w:pPr>
        <w:spacing w:after="60"/>
        <w:ind w:right="504"/>
        <w:jc w:val="right"/>
        <w:bidi w:val="1"/>
      </w:pPr>
      <w:r>
        <w:rPr>
          <w:rFonts w:ascii="Calibri" w:hAnsi="Calibri"/>
          <w:color w:val="1A202C"/>
          <w:sz w:val="22"/>
          <w:rtl w:val="1"/>
        </w:rPr>
        <w:t>مساحة الكشاف والذراع المعرضة للرياح، لتحديد العزم التصميمي على القاعدة.</w:t>
      </w:r>
      <w:r>
        <w:rPr>
          <w:rFonts w:ascii="Calibri" w:hAnsi="Calibri"/>
          <w:color w:val="B8956B"/>
          <w:sz w:val="22"/>
        </w:rPr>
        <w:t xml:space="preserve">  4.</w:t>
      </w:r>
    </w:p>
    <w:p>
      <w:pPr>
        <w:spacing w:after="60"/>
        <w:ind w:right="504"/>
        <w:jc w:val="right"/>
        <w:bidi w:val="1"/>
      </w:pPr>
      <w:r>
        <w:rPr>
          <w:rFonts w:ascii="Calibri" w:hAnsi="Calibri"/>
          <w:color w:val="1A202C"/>
          <w:sz w:val="22"/>
          <w:rtl w:val="1"/>
        </w:rPr>
        <w:t>حد هبوط الجهد المعتمد من الجهة المالكة أو شركة التوزيع (3% أو 5%).</w:t>
      </w:r>
      <w:r>
        <w:rPr>
          <w:rFonts w:ascii="Calibri" w:hAnsi="Calibri"/>
          <w:color w:val="B8956B"/>
          <w:sz w:val="22"/>
        </w:rPr>
        <w:t xml:space="preserve">  5.</w:t>
      </w:r>
    </w:p>
    <w:p>
      <w:pPr>
        <w:spacing w:after="60"/>
        <w:ind w:right="504"/>
        <w:jc w:val="right"/>
        <w:bidi w:val="1"/>
      </w:pPr>
      <w:r>
        <w:rPr>
          <w:rFonts w:ascii="Calibri" w:hAnsi="Calibri"/>
          <w:color w:val="1A202C"/>
          <w:sz w:val="22"/>
          <w:rtl w:val="1"/>
        </w:rPr>
        <w:t>نظام التأريض المعتمد (TN-S أو TN-C-S أو TT).</w:t>
      </w:r>
      <w:r>
        <w:rPr>
          <w:rFonts w:ascii="Calibri" w:hAnsi="Calibri"/>
          <w:color w:val="B8956B"/>
          <w:sz w:val="22"/>
        </w:rPr>
        <w:t xml:space="preserve">  6.</w:t>
      </w:r>
    </w:p>
    <w:p>
      <w:pPr>
        <w:spacing w:after="60"/>
        <w:ind w:right="504"/>
        <w:jc w:val="right"/>
        <w:bidi w:val="1"/>
      </w:pPr>
      <w:r>
        <w:rPr>
          <w:rFonts w:ascii="Calibri" w:hAnsi="Calibri"/>
          <w:color w:val="1A202C"/>
          <w:sz w:val="22"/>
          <w:rtl w:val="1"/>
        </w:rPr>
        <w:t>فئة الطريق المطلوبة ومستوى الإضاءة المستهدف (لتأكيد التباعد 40 م مقابل 45 م).</w:t>
      </w:r>
      <w:r>
        <w:rPr>
          <w:rFonts w:ascii="Calibri" w:hAnsi="Calibri"/>
          <w:color w:val="B8956B"/>
          <w:sz w:val="22"/>
        </w:rPr>
        <w:t xml:space="preserve">  7.</w:t>
      </w:r>
    </w:p>
    <w:p>
      <w:pPr>
        <w:spacing w:after="60"/>
        <w:ind w:right="504"/>
        <w:jc w:val="right"/>
        <w:bidi w:val="1"/>
      </w:pPr>
      <w:r>
        <w:rPr>
          <w:rFonts w:ascii="Calibri" w:hAnsi="Calibri"/>
          <w:color w:val="1A202C"/>
          <w:sz w:val="22"/>
          <w:rtl w:val="1"/>
        </w:rPr>
        <w:t>وجود عبور أنابيب أو طرق أو مجاري أودية على المسار، وعددها.</w:t>
      </w:r>
      <w:r>
        <w:rPr>
          <w:rFonts w:ascii="Calibri" w:hAnsi="Calibri"/>
          <w:color w:val="B8956B"/>
          <w:sz w:val="22"/>
        </w:rPr>
        <w:t xml:space="preserve">  8.</w:t>
      </w:r>
    </w:p>
    <w:p>
      <w:pPr>
        <w:spacing w:after="60"/>
        <w:ind w:right="504"/>
        <w:jc w:val="right"/>
        <w:bidi w:val="1"/>
      </w:pPr>
      <w:r>
        <w:rPr>
          <w:rFonts w:ascii="Calibri" w:hAnsi="Calibri"/>
          <w:color w:val="1A202C"/>
          <w:sz w:val="22"/>
          <w:rtl w:val="1"/>
        </w:rPr>
        <w:t>هل يُطلب تحكم مركزي أو نظام إدارة إضاءة (CMS) أو ربط بمنظومة البلدية.</w:t>
      </w:r>
      <w:r>
        <w:rPr>
          <w:rFonts w:ascii="Calibri" w:hAnsi="Calibri"/>
          <w:color w:val="B8956B"/>
          <w:sz w:val="22"/>
        </w:rPr>
        <w:t xml:space="preserve">  9.</w:t>
      </w:r>
    </w:p>
    <w:tbl>
      <w:tblPr>
        <w:tblW w:type="auto" w:w="0"/>
        <w:tblLook w:firstColumn="1" w:firstRow="1" w:lastColumn="0" w:lastRow="0" w:noHBand="0" w:noVBand="1" w:val="04A0"/>
      </w:tblPr>
      <w:tblGrid>
        <w:gridCol w:w="8640"/>
      </w:tblGrid>
      <w:tr>
        <w:tc>
          <w:tcPr>
            <w:tcW w:type="dxa" w:w="8640"/>
            <w:shd w:val="clear" w:color="auto" w:fill="FFFBEB"/>
            <w:tcBorders>
              <w:top w:val="single" w:sz="4" w:space="0" w:color="FFFBEB"/>
              <w:left w:val="single" w:sz="24" w:space="0" w:color="D97706"/>
              <w:bottom w:val="single" w:sz="4" w:space="0" w:color="FFFBEB"/>
              <w:right w:val="single" w:sz="4" w:space="0" w:color="FFFBEB"/>
            </w:tcBorders>
          </w:tcPr>
          <w:p>
            <w:pPr>
              <w:spacing w:before="120" w:after="120"/>
              <w:jc w:val="right"/>
              <w:bidi w:val="1"/>
            </w:pPr>
            <w:r>
              <w:rPr>
                <w:rFonts w:ascii="Calibri" w:hAnsi="Calibri"/>
                <w:b/>
                <w:color w:val="D97706"/>
                <w:sz w:val="18"/>
              </w:rPr>
              <w:t xml:space="preserve">WARNING  </w:t>
            </w:r>
            <w:r>
              <w:rPr>
                <w:rFonts w:ascii="Calibri" w:hAnsi="Calibri"/>
                <w:color w:val="1A202C"/>
                <w:sz w:val="20"/>
                <w:rtl w:val="1"/>
              </w:rPr>
              <w:t>الخطة تعتمد على الافتراضات المذكورة. تأكيد البنود الثمانية أعلاه — خصوصاً قدرة الكشاف وارتفاع العمود وموضع نقطة التغذية — قد يغيّر الكابلات والكميات والجدول الزمني، ويستوجب إعادة إصدار هذه الوثيقة بحسابات محدَّثة قبل الطرح أو التعميد.</w:t>
            </w:r>
          </w:p>
        </w:tc>
      </w:tr>
    </w:tbl>
    <w:p>
      <w:pPr>
        <w:spacing w:after="80"/>
      </w:pPr>
    </w:p>
    <w:p>
      <w:pPr>
        <w:pStyle w:val="Heading1"/>
        <w:spacing w:before="360" w:after="160"/>
        <w:jc w:val="right"/>
        <w:keepNext/>
        <w:bidi w:val="1"/>
        <w:pBdr>
          <w:bottom w:val="single" w:sz="12" w:space="6" w:color="B8956B"/>
        </w:pBdr>
      </w:pPr>
      <w:r>
        <w:rPr>
          <w:rFonts w:ascii="Calibri" w:hAnsi="Calibri"/>
          <w:b/>
          <w:color w:val="0A192F"/>
          <w:sz w:val="44"/>
          <w:rtl w:val="1"/>
        </w:rPr>
        <w:t>التكلفة التقديرية للمسار بعد تعديل العمود والكشاف</w:t>
      </w:r>
    </w:p>
    <w:p>
      <w:pPr>
        <w:spacing w:after="160" w:line="276" w:lineRule="auto"/>
        <w:jc w:val="right"/>
        <w:bidi w:val="1"/>
      </w:pPr>
      <w:r>
        <w:rPr>
          <w:rFonts w:ascii="Calibri" w:hAnsi="Calibri"/>
          <w:color w:val="1A202C"/>
          <w:sz w:val="22"/>
          <w:rtl w:val="1"/>
        </w:rPr>
        <w:t>أُعيد تسعير المسار بعد اعتماد ارتفاع العمود 10 أمتار والقاعدة 60×60×120 سم وقدرة الكشاف 150 واط. رُفعت أربعة بنود وأُبقي على الكابل 4×50 مم² بفضل تقسيم المسار إلى مغذيين، فارتفع الإجمالي من 38,860 إلى 42,710 ريالاً عمانياً بزيادة 3,850 ريالاً (9.9%). وبهذا يصبح السقف المعتمد 40,000 ريال أقل من التقدير المعدل بـ2,710 ريالاً قبل الاحتياطي، و3,850 ريالاً مع احتياطي 2.7%.</w:t>
      </w:r>
    </w:p>
    <w:tbl>
      <w:tblPr>
        <w:tblStyle w:val="TableGrid"/>
        <w:tblW w:type="auto" w:w="0"/>
        <w:tblLayout w:type="autofit"/>
        <w:tblLook w:firstColumn="1" w:firstRow="1" w:lastColumn="0" w:lastRow="0" w:noHBand="0" w:noVBand="1" w:val="04A0"/>
      </w:tblPr>
      <w:tblGrid>
        <w:gridCol w:w="1440"/>
        <w:gridCol w:w="1440"/>
        <w:gridCol w:w="1440"/>
        <w:gridCol w:w="1440"/>
        <w:gridCol w:w="1440"/>
        <w:gridCol w:w="1440"/>
      </w:tblGrid>
      <w:tr>
        <w:tc>
          <w:tcPr>
            <w:tcW w:type="dxa" w:w="144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م</w:t>
            </w:r>
          </w:p>
        </w:tc>
        <w:tc>
          <w:tcPr>
            <w:tcW w:type="dxa" w:w="144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وصف البند</w:t>
            </w:r>
          </w:p>
        </w:tc>
        <w:tc>
          <w:tcPr>
            <w:tcW w:type="dxa" w:w="144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الكمية</w:t>
            </w:r>
          </w:p>
        </w:tc>
        <w:tc>
          <w:tcPr>
            <w:tcW w:type="dxa" w:w="144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الوحدة</w:t>
            </w:r>
          </w:p>
        </w:tc>
        <w:tc>
          <w:tcPr>
            <w:tcW w:type="dxa" w:w="144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سعر الوحدة (ر.ع)</w:t>
            </w:r>
          </w:p>
        </w:tc>
        <w:tc>
          <w:tcPr>
            <w:tcW w:type="dxa" w:w="144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الإجمالي (ر.ع)</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تصميم واعتماد ومخططات تنفيذية</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مقطوع</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600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600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حفر خندق 0.70×0.40 م</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2000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4,000</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فرشة رملية وردم ودمك وشرائط تحذير</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2000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1.25</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2,500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عبور طرق وترميم أسفلت (3 مواقع)</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مقطوع</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1,200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1,200</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كابل ألمنيوم 4×50 مم² XLPE/SWA</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2100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5.40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11,340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أعمدة جلفنة 10 م مع ذراع 1.5 م</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عمود</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170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8,500</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كشافات LED 150 واط IP66</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كشاف</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3,500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8</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قواعد خرسانية 60×60×120 سم مسلحة</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قاعدة</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65</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3,250</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9</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صندوق تغذية بمغذيين وقواطع</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صندوق</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1,700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1,700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موصل تأريض نحاس 16 مم²</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2100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1.50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3,150</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11</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أقطاب تأريض وغرف تفتيش</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نقطة</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55</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770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توصيلات وقواطع داخل الأعمدة</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عمود</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700</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13</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اختبارات وتشغيل</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مقطوع</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700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700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إدارة حركة وسلامة</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مقطوع</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500</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500</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15</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توثيق ومخططات كما نُفذ</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مقطوع</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300</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300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المجموع قبل الاحتياطي</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42,710</w:t>
            </w:r>
          </w:p>
        </w:tc>
      </w:tr>
      <w:tr>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احتياطي تنفيذي 2.7%</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1,140</w:t>
            </w:r>
          </w:p>
        </w:tc>
      </w:tr>
      <w:tr>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الإجمالي مع الاحتياطي</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144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43,850</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أثر التعديل مقارنة بالتقدير السابق</w:t>
      </w:r>
    </w:p>
    <w:tbl>
      <w:tblPr>
        <w:tblStyle w:val="TableGrid"/>
        <w:tblW w:type="auto" w:w="0"/>
        <w:tblLayout w:type="autofit"/>
        <w:tblLook w:firstColumn="1" w:firstRow="1" w:lastColumn="0" w:lastRow="0" w:noHBand="0" w:noVBand="1" w:val="04A0"/>
      </w:tblPr>
      <w:tblGrid>
        <w:gridCol w:w="2160"/>
        <w:gridCol w:w="2160"/>
        <w:gridCol w:w="2160"/>
        <w:gridCol w:w="2160"/>
      </w:tblGrid>
      <w:tr>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البند</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التقدير السابق (ر.ع)</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التقدير المعدل (ر.ع)</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الفرق</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أعمدة (10 م بدل 8 م)</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7,000</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8,500</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+1,500</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كشافات (150 واط بدل 100 واط)</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2,600</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3,500</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+900</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قواعد (60×60×120 بدل القاعدة الأصغر)</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2,300</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3,250</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+950</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صندوق تغذية بمغذيين</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1,400</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1,700</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+300</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توصيلات داخل الأعمدة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600</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700</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+100</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اختبارات وتشغيل</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600</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700</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+100</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باقي البنود (تصميم، حفر، ردم، كابل، تأريض، عبور، سلامة، توثيق)</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24,360</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24,360</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الإجمالي قبل الاحتياطي</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38,860</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42,710</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+3,850</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التحقق الهندسي بعد التعديل</w:t>
      </w:r>
    </w:p>
    <w:p>
      <w:pPr>
        <w:spacing w:after="160" w:line="276" w:lineRule="auto"/>
        <w:jc w:val="right"/>
        <w:bidi w:val="1"/>
      </w:pPr>
      <w:r>
        <w:rPr>
          <w:rFonts w:ascii="Calibri" w:hAnsi="Calibri"/>
          <w:b/>
          <w:color w:val="1A202C"/>
          <w:sz w:val="22"/>
          <w:rtl w:val="1"/>
        </w:rPr>
        <w:t>هبوط الجهد:</w:t>
      </w:r>
      <w:r>
        <w:rPr>
          <w:rFonts w:ascii="Calibri" w:hAnsi="Calibri"/>
          <w:color w:val="1A202C"/>
          <w:sz w:val="22"/>
          <w:rtl w:val="1"/>
        </w:rPr>
        <w:t xml:space="preserve"> بمعامل قدرة 0.95 وجهد 400 فولت، يبلغ التيار الكلي 12.0 أمبير. بمغذٍ واحد من طرف المسار يعطي الكابل 4×50 مم² ألمنيوم هبوطاً 26.4 فولت (6.6%) وهو مرفوض، ويعطي 4×70 مم² هبوطاً 18.5 فولت (4.6%) وهو مرفوض أيضاً، ولا يجتاز الحد إلا 4×120 مم² (11.0 فولت، 2.8%). وبتقسيم المسار إلى مغذيين من المنتصف ينقسم التيار إلى 6.0 أمبير ويقصر الطول إلى 1000 متر لكل اتجاه، فيهبط الجهد إلى 6.6 فولت (1.6%) مع الكابل 4×50 مم² نفسه. الفواقد النحاسية 553 واط بمغذٍ واحد (7.0% من الحمل) مقابل 69 واطاً بالمغذيين (0.9%). ملاحظة تصحيحية: الحساب الوارد في الرسالة السابقة استخدم معامل قدرة 0.90؛ المعتمد في هذه الوثيقة 0.95 وعليه الأرقام أعلاه، والنتيجة الهندسية لم تتغير: 4×70 لا يجتاز الحد.</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الحالة</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الكابل</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الطول الفعلي (م)</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التيار (أمبير)</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هبوط الجهد</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النسبة</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التقييم</w:t>
            </w:r>
          </w:p>
        </w:tc>
      </w:tr>
      <w:tr>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مغذٍ واحد من الطرف</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نحاس 4×70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2000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14.5 فولت</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3.6%</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w:t>
            </w:r>
          </w:p>
        </w:tc>
      </w:tr>
      <w:tr>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مغذٍ واحد من الطرف</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4×70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2000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18.5 فولت</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4.6%</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مرفوض</w:t>
            </w:r>
          </w:p>
        </w:tc>
      </w:tr>
      <w:tr>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مغذٍ واحد من الطرف</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4×120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2000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11.0 فولت</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2.8%</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مقبول لكن مكلف</w:t>
            </w:r>
          </w:p>
        </w:tc>
      </w:tr>
      <w:tr>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مغذيان من المنتصف</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4×50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1000 لكل اتجاه</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6.6 فولت</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1.6%</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الموصى به</w:t>
            </w:r>
          </w:p>
        </w:tc>
      </w:tr>
      <w:tr>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مغذيان — بديل 44 عموداً</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4×50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990 لكل اتجاه</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5.3</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5.7 فولت</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مقبول</w:t>
            </w:r>
          </w:p>
        </w:tc>
      </w:tr>
    </w:tbl>
    <w:p>
      <w:pPr>
        <w:spacing w:after="120"/>
      </w:pPr>
    </w:p>
    <w:p>
      <w:pPr>
        <w:spacing w:after="160" w:line="276" w:lineRule="auto"/>
        <w:jc w:val="right"/>
        <w:bidi w:val="1"/>
      </w:pPr>
      <w:r>
        <w:rPr>
          <w:rFonts w:ascii="Calibri" w:hAnsi="Calibri"/>
          <w:b/>
          <w:color w:val="1A202C"/>
          <w:sz w:val="22"/>
          <w:rtl w:val="1"/>
        </w:rPr>
        <w:t>قاعدة العمود 60×60×120 سم:</w:t>
      </w:r>
      <w:r>
        <w:rPr>
          <w:rFonts w:ascii="Calibri" w:hAnsi="Calibri"/>
          <w:color w:val="1A202C"/>
          <w:sz w:val="22"/>
          <w:rtl w:val="1"/>
        </w:rPr>
        <w:t xml:space="preserve"> حجم الخرسانة 0.432 م³ ووزنها نحو 1.04 طن (10.4 كيلو نيوتن). والعزم التقديري عند سطح الأرض، بافتراض عمود مخروطي متوسط قطره 0.125 م ومساحة معرضة 0.35 م² للكشاف والذراع ومعامل مقاومة 1.2، هو نحو 8.8 كيلو نيوتن.متر عند سرعة رياح 35 م/ث، ونحو 14.5 كيلو نيوتن.متر عند 45 م/ث. وزن القاعدة والعمود يعطي مقاومة إطاحة 3.1 كيلو نيوتن.متر فقط (10.4 × 0.3 م)، ويستكمل الباقي من المقاومة الجانبية السلبية للتربة عند عمق 1.2 متر (بافتراض تربة متوسطة الكثافة). معامل الأمان التقديري 2.3 عند 35 م/ث و1.4 عند 45 م/ث. ضغط التربة تحت القاعدة من الحمل الرأسي نحو 32 كيلو باسكال مقابل قدرة تحمل مفترضة 150، فلا إشكال في التحمل. الخلاصة: القاعدة كافية في الرياح العادية وغير كافية عند 45 م/ث أو في التربة الرخوة، حيث يلزم 80×80×150 سم بزيادة نحو 1,500 ريال. وهذه أرقام تقديرية بافتراضاتها المعلنة، ولا تُعتمد بديلاً عن حساب إنشائي معتمد من الاستشاري.</w:t>
      </w:r>
    </w:p>
    <w:p>
      <w:pPr>
        <w:pStyle w:val="Heading2"/>
        <w:spacing w:before="240" w:after="80"/>
        <w:jc w:val="right"/>
        <w:bidi w:val="1"/>
        <w:pBdr>
          <w:bottom w:val="single" w:sz="6" w:space="3" w:color="1B3A5F"/>
        </w:pBdr>
      </w:pPr>
      <w:r>
        <w:rPr>
          <w:rFonts w:ascii="Calibri" w:hAnsi="Calibri"/>
          <w:b/>
          <w:color w:val="1B3A5F"/>
          <w:sz w:val="30"/>
          <w:rtl w:val="1"/>
        </w:rPr>
        <w:t>بديل الالتزام بسقف 40,000 ريال عماني</w:t>
      </w:r>
    </w:p>
    <w:p>
      <w:pPr>
        <w:spacing w:after="160" w:line="276" w:lineRule="auto"/>
        <w:jc w:val="right"/>
        <w:bidi w:val="1"/>
      </w:pPr>
      <w:r>
        <w:rPr>
          <w:rFonts w:ascii="Calibri" w:hAnsi="Calibri"/>
          <w:color w:val="1A202C"/>
          <w:sz w:val="22"/>
          <w:rtl w:val="1"/>
        </w:rPr>
        <w:t>إذا كان السقف 40,000 ريالاً غير قابل للرفع، فإن الطريق الوحيد للالتزام به دون المساس ببنود السلامة والاختبارات والتأريض هو تقليل عدد الأعمدة من 50 إلى 44 عموداً بتباعد 45 متراً. وبارتفاع 10 أمتار وكشاف 150 واط، يحقق هذا التباعد مستوى إضاءة أعلى من التصميم السابق (50 عموداً × 100 واط × 8 أمتار)، أي أن التخفيض في العدد يقابله تحسن في الأداء الضوئي لكل عمود.</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البند</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الكمية</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الإجمالي (ر.ع)</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أعمدة 10 م</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44</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7,480</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كشافات 150 واط</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44</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3,080</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قواعد 60×60×120 سم</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44</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2,860</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توصيلات داخل الأعمدة</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44</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616</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أقطاب تأريض</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12</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660</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بنود ثابتة (تصميم، حفر 2000 م، ردم، كابل 2100 م، تأريض، صندوق، اختبارات، سلامة، توثيق)</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25,990</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الإجمالي</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40,686</w:t>
            </w:r>
          </w:p>
        </w:tc>
      </w:tr>
    </w:tbl>
    <w:p>
      <w:pPr>
        <w:spacing w:after="120"/>
      </w:pPr>
    </w:p>
    <w:p>
      <w:pPr>
        <w:spacing w:after="160" w:line="276" w:lineRule="auto"/>
        <w:jc w:val="right"/>
        <w:bidi w:val="1"/>
      </w:pPr>
      <w:r>
        <w:rPr>
          <w:rFonts w:ascii="Calibri" w:hAnsi="Calibri"/>
          <w:color w:val="1A202C"/>
          <w:sz w:val="22"/>
          <w:rtl w:val="1"/>
        </w:rPr>
        <w:t>البديل ينزل بالإجمالي إلى 40,686 ريالاً قبل الاحتياطي، أي تجاوز 686 ريالاً فقط (1.7%) وهو داخل هامش دقة التقدير ±10%، ومع احتياطي 2.7% يصبح 41,785 ريالاً. أمام الإدارة ثلاثة خيارات واضحة: اعتماد 50 عموداً برفع السقف إلى 42,710 ريالاً (43,850 مع الاحتياطي)؛ أو اعتماد 44 عموداً بتباعد 45 متراً عند 40,686 ريالاً؛ أو الإبقاء على 50 عموداً داخل 40,000 ريال بخفض الكشاف إلى 100 واط والعمود إلى 8 أمتار، أي الرجوع عن التعديل المطلوب أصلاً. والتوفير في الخيار الثالث لا يبرر فقدان الأداء الضوئي المطلوب.</w:t>
      </w:r>
    </w:p>
    <w:tbl>
      <w:tblPr>
        <w:tblStyle w:val="TableGrid"/>
        <w:tblW w:type="auto" w:w="0"/>
        <w:tblLayout w:type="autofit"/>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الخيار</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عدد الأعمدة</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الكابل</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هبوط الجهد</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الإجمالي قبل الاحتياطي (ر.ع)</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مع احتياطي 2.7% (ر.ع)</w:t>
            </w:r>
          </w:p>
        </w:tc>
        <w:tc>
          <w:tcPr>
            <w:tcW w:type="dxa" w:w="1234"/>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الأثر على السقف</w:t>
            </w:r>
          </w:p>
        </w:tc>
      </w:tr>
      <w:tr>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المعتمد: 50 عموداً ومغذيان من المنتصف</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4×50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1.6%</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42,710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43,850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+2,710 إلى +3,850</w:t>
            </w:r>
          </w:p>
        </w:tc>
      </w:tr>
      <w:tr>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50 عموداً وتغذية عند الطرف فقط</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4×120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2.8%</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51,320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52,706</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+11,320 إلى +12,706</w:t>
            </w:r>
          </w:p>
        </w:tc>
      </w:tr>
      <w:tr>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بديل: 44 عموداً بتباعد 45 م</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44</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4×50</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1.4%</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40,686</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41,785</w:t>
            </w:r>
          </w:p>
        </w:tc>
        <w:tc>
          <w:tcPr>
            <w:tcW w:type="dxa" w:w="1234"/>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+686 إلى +1,785</w:t>
            </w:r>
          </w:p>
        </w:tc>
      </w:tr>
      <w:tr>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الرجوع إلى 100 واط و8 م</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50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ألمنيوم 4×50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1.1%</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38,860</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39,909</w:t>
            </w:r>
          </w:p>
        </w:tc>
        <w:tc>
          <w:tcPr>
            <w:tcW w:type="dxa" w:w="1234"/>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داخل السقف بفقدان أداء ضوئي</w:t>
            </w:r>
          </w:p>
        </w:tc>
      </w:tr>
    </w:tbl>
    <w:p>
      <w:pPr>
        <w:spacing w:after="120"/>
      </w:pPr>
    </w:p>
    <w:tbl>
      <w:tblPr>
        <w:tblW w:type="auto" w:w="0"/>
        <w:tblLook w:firstColumn="1" w:firstRow="1" w:lastColumn="0" w:lastRow="0" w:noHBand="0" w:noVBand="1" w:val="04A0"/>
      </w:tblPr>
      <w:tblGrid>
        <w:gridCol w:w="8640"/>
      </w:tblGrid>
      <w:tr>
        <w:tc>
          <w:tcPr>
            <w:tcW w:type="dxa" w:w="8640"/>
            <w:shd w:val="clear" w:color="auto" w:fill="FFFBEB"/>
            <w:tcBorders>
              <w:top w:val="single" w:sz="4" w:space="0" w:color="FFFBEB"/>
              <w:left w:val="single" w:sz="24" w:space="0" w:color="D97706"/>
              <w:bottom w:val="single" w:sz="4" w:space="0" w:color="FFFBEB"/>
              <w:right w:val="single" w:sz="4" w:space="0" w:color="FFFBEB"/>
            </w:tcBorders>
          </w:tcPr>
          <w:p>
            <w:pPr>
              <w:spacing w:before="120" w:after="120"/>
              <w:jc w:val="right"/>
              <w:bidi w:val="1"/>
            </w:pPr>
            <w:r>
              <w:rPr>
                <w:rFonts w:ascii="Calibri" w:hAnsi="Calibri"/>
                <w:b/>
                <w:color w:val="D97706"/>
                <w:sz w:val="18"/>
              </w:rPr>
              <w:t xml:space="preserve">WARNING  </w:t>
            </w:r>
            <w:r>
              <w:rPr>
                <w:rFonts w:ascii="Calibri" w:hAnsi="Calibri"/>
                <w:color w:val="1A202C"/>
                <w:sz w:val="20"/>
                <w:rtl w:val="1"/>
              </w:rPr>
              <w:t>قرار مطلوب قبل التعميد: تثبيت عدد الأعمدة (50 أو 44) وموضع صندوق التغذية بالنسبة لنقطة تغذية الجهد المنخفض. موضع الصندوق في منتصف المسار هو ما يسمح بالبقاء على كابل 4×50 مم²؛ إذا كانت التغذية متاحة عند طرف المسار فقط فإن الكابل يتحول إلى 4×120 مم² وتزيد الكلفة نحو 8,610 ريالات. ويُضاف إلى ذلك تأمين سرعة الرياح التصميمية وتقرير التربة لتثبيت مقاس القاعدة قبل الشراء.</w:t>
            </w:r>
          </w:p>
        </w:tc>
      </w:tr>
    </w:tbl>
    <w:p>
      <w:pPr>
        <w:spacing w:after="80"/>
      </w:pPr>
    </w:p>
    <w:sectPr w:rsidR="00FC693F" w:rsidRPr="0006063C" w:rsidSect="00034616">
      <w:headerReference w:type="default" r:id="rId9"/>
      <w:headerReference w:type="first" r:id="rId10"/>
      <w:footerReference w:type="default" r:id="rId11"/>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B8956B"/>
      </w:pBdr>
    </w:pPr>
    <w:r>
      <w:rPr>
        <w:rFonts w:ascii="Calibri" w:hAnsi="Calibri"/>
        <w:color w:val="1B3A5F"/>
        <w:sz w:val="18"/>
      </w:rPr>
      <w:t xml:space="preserve">Page </w:t>
    </w:r>
    <w:r>
      <w:rPr>
        <w:rFonts w:ascii="Calibri" w:hAnsi="Calibri"/>
        <w:color w:val="1B3A5F"/>
        <w:sz w:val="18"/>
      </w:rPr>
      <w:fldChar w:fldCharType="begin"/>
      <w:instrText>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8" w:space="4" w:color="B8956B"/>
      </w:pBdr>
    </w:pPr>
    <w:r>
      <w:rPr>
        <w:rFonts w:ascii="Calibri" w:hAnsi="Calibri"/>
        <w:color w:val="1B3A5F"/>
        <w:sz w:val="16"/>
      </w:rPr>
      <w:t>خطة عمل تنفيذ أعمال إنارة طريق</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